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6908" w14:textId="77777777" w:rsidR="00EE0614" w:rsidRDefault="00EE0614" w:rsidP="00EE0614">
      <w:pPr>
        <w:jc w:val="center"/>
        <w:rPr>
          <w:rFonts w:ascii="Arial" w:hAnsi="Arial" w:cs="Arial"/>
          <w:b/>
          <w:szCs w:val="21"/>
        </w:rPr>
      </w:pPr>
      <w:r w:rsidRPr="00392CB0">
        <w:rPr>
          <w:rFonts w:ascii="Arial" w:hAnsi="Arial" w:cs="Arial"/>
          <w:b/>
          <w:szCs w:val="21"/>
        </w:rPr>
        <w:t>Fudan University</w:t>
      </w:r>
    </w:p>
    <w:p w14:paraId="095414AD" w14:textId="77777777" w:rsidR="00EE0614" w:rsidRDefault="00EE0614" w:rsidP="00EE0614">
      <w:pPr>
        <w:jc w:val="center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International Economics</w:t>
      </w:r>
    </w:p>
    <w:p w14:paraId="79A9F03C" w14:textId="77777777" w:rsidR="00EE0614" w:rsidRPr="00392CB0" w:rsidRDefault="00EE0614" w:rsidP="00EE0614">
      <w:pPr>
        <w:jc w:val="center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Spring 2024</w:t>
      </w:r>
    </w:p>
    <w:p w14:paraId="17D280C6" w14:textId="6DD25367" w:rsidR="00281AEE" w:rsidRPr="006506DA" w:rsidRDefault="00281AEE" w:rsidP="00B914F7">
      <w:pPr>
        <w:rPr>
          <w:b/>
          <w:color w:val="000000"/>
          <w:sz w:val="28"/>
        </w:rPr>
      </w:pPr>
    </w:p>
    <w:tbl>
      <w:tblPr>
        <w:tblW w:w="9356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9"/>
        <w:gridCol w:w="111"/>
        <w:gridCol w:w="1059"/>
        <w:gridCol w:w="630"/>
        <w:gridCol w:w="1004"/>
        <w:gridCol w:w="256"/>
        <w:gridCol w:w="180"/>
        <w:gridCol w:w="769"/>
        <w:gridCol w:w="131"/>
        <w:gridCol w:w="990"/>
        <w:gridCol w:w="720"/>
        <w:gridCol w:w="1065"/>
        <w:gridCol w:w="992"/>
      </w:tblGrid>
      <w:tr w:rsidR="00281AEE" w:rsidRPr="006506DA" w14:paraId="0C069BBF" w14:textId="77777777" w:rsidTr="00F2069D">
        <w:trPr>
          <w:trHeight w:val="951"/>
        </w:trPr>
        <w:tc>
          <w:tcPr>
            <w:tcW w:w="9356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</w:tcPr>
          <w:p w14:paraId="6269B30B" w14:textId="3C32A7FE" w:rsidR="00281AEE" w:rsidRPr="006506DA" w:rsidRDefault="00281AEE" w:rsidP="00F2069D">
            <w:pPr>
              <w:spacing w:before="100" w:beforeAutospacing="1" w:after="100" w:afterAutospacing="1"/>
              <w:rPr>
                <w:b/>
                <w:color w:val="000000"/>
                <w:sz w:val="24"/>
              </w:rPr>
            </w:pPr>
            <w:r w:rsidRPr="006506DA">
              <w:rPr>
                <w:b/>
                <w:color w:val="000000"/>
                <w:sz w:val="24"/>
              </w:rPr>
              <w:t xml:space="preserve">Department:    </w:t>
            </w:r>
            <w:r w:rsidR="00B914F7">
              <w:rPr>
                <w:b/>
                <w:color w:val="000000"/>
                <w:sz w:val="24"/>
              </w:rPr>
              <w:t>School of Economics</w:t>
            </w:r>
            <w:r w:rsidRPr="006506DA">
              <w:rPr>
                <w:b/>
                <w:color w:val="000000"/>
                <w:sz w:val="24"/>
              </w:rPr>
              <w:t xml:space="preserve">                              </w:t>
            </w:r>
          </w:p>
        </w:tc>
      </w:tr>
      <w:tr w:rsidR="00281AEE" w:rsidRPr="006506DA" w14:paraId="5647BFB2" w14:textId="77777777" w:rsidTr="00F2069D">
        <w:trPr>
          <w:trHeight w:val="516"/>
        </w:trPr>
        <w:tc>
          <w:tcPr>
            <w:tcW w:w="1560" w:type="dxa"/>
            <w:gridSpan w:val="2"/>
            <w:tcBorders>
              <w:top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9198CB" w14:textId="77777777" w:rsidR="00281AEE" w:rsidRPr="006506DA" w:rsidRDefault="00281AEE" w:rsidP="00F2069D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Course Code</w:t>
            </w:r>
          </w:p>
        </w:tc>
        <w:tc>
          <w:tcPr>
            <w:tcW w:w="7796" w:type="dxa"/>
            <w:gridSpan w:val="11"/>
            <w:tcBorders>
              <w:top w:val="single" w:sz="12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109F9C9C" w14:textId="7B980837" w:rsidR="00281AEE" w:rsidRPr="006506DA" w:rsidRDefault="00B914F7" w:rsidP="00F2069D">
            <w:pPr>
              <w:rPr>
                <w:color w:val="000000"/>
              </w:rPr>
            </w:pPr>
            <w:r w:rsidRPr="009804AE">
              <w:rPr>
                <w:rFonts w:ascii="Arial" w:hAnsi="Arial" w:cs="Arial"/>
                <w:szCs w:val="21"/>
              </w:rPr>
              <w:t>ECON130243.01</w:t>
            </w:r>
          </w:p>
        </w:tc>
      </w:tr>
      <w:tr w:rsidR="00B914F7" w:rsidRPr="006506DA" w14:paraId="2739CB21" w14:textId="77777777" w:rsidTr="00F2069D">
        <w:trPr>
          <w:trHeight w:val="581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9920441" w14:textId="77777777" w:rsidR="00B914F7" w:rsidRPr="006506DA" w:rsidRDefault="00B914F7" w:rsidP="00B914F7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Course Title</w:t>
            </w:r>
          </w:p>
        </w:tc>
        <w:tc>
          <w:tcPr>
            <w:tcW w:w="7796" w:type="dxa"/>
            <w:gridSpan w:val="11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1B9FD5E" w14:textId="334EBB43" w:rsidR="00B914F7" w:rsidRPr="006506DA" w:rsidRDefault="00B914F7" w:rsidP="00B914F7">
            <w:pPr>
              <w:rPr>
                <w:color w:val="000000"/>
              </w:rPr>
            </w:pPr>
            <w:r w:rsidRPr="00392CB0">
              <w:rPr>
                <w:rFonts w:ascii="Arial" w:hAnsi="Arial" w:cs="Arial"/>
                <w:szCs w:val="21"/>
              </w:rPr>
              <w:t>International Economics</w:t>
            </w:r>
          </w:p>
        </w:tc>
      </w:tr>
      <w:tr w:rsidR="00B914F7" w:rsidRPr="006506DA" w14:paraId="460A5609" w14:textId="77777777" w:rsidTr="00F41491">
        <w:trPr>
          <w:trHeight w:val="516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F326B81" w14:textId="77777777" w:rsidR="00B914F7" w:rsidRPr="006506DA" w:rsidRDefault="00B914F7" w:rsidP="00B914F7">
            <w:pPr>
              <w:jc w:val="center"/>
              <w:rPr>
                <w:b/>
              </w:rPr>
            </w:pPr>
            <w:r w:rsidRPr="006506DA">
              <w:rPr>
                <w:b/>
              </w:rPr>
              <w:t>Credit</w:t>
            </w:r>
          </w:p>
        </w:tc>
        <w:tc>
          <w:tcPr>
            <w:tcW w:w="1059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32EBE" w14:textId="2803831C" w:rsidR="00B914F7" w:rsidRPr="006506DA" w:rsidRDefault="00B914F7" w:rsidP="00B914F7">
            <w:r>
              <w:t>4</w:t>
            </w:r>
          </w:p>
        </w:tc>
        <w:tc>
          <w:tcPr>
            <w:tcW w:w="1634" w:type="dxa"/>
            <w:gridSpan w:val="2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52B08" w14:textId="77777777" w:rsidR="00B914F7" w:rsidRPr="006506DA" w:rsidRDefault="00B914F7" w:rsidP="00B914F7">
            <w:pPr>
              <w:ind w:left="57"/>
              <w:rPr>
                <w:b/>
              </w:rPr>
            </w:pPr>
            <w:r w:rsidRPr="006506DA">
              <w:rPr>
                <w:b/>
              </w:rPr>
              <w:t>Experiment</w:t>
            </w:r>
          </w:p>
          <w:p w14:paraId="78C09D0E" w14:textId="77777777" w:rsidR="00B914F7" w:rsidRPr="006506DA" w:rsidRDefault="00B914F7" w:rsidP="00B914F7">
            <w:r w:rsidRPr="006506DA">
              <w:rPr>
                <w:b/>
              </w:rPr>
              <w:t>(including Computer) Credit</w:t>
            </w:r>
          </w:p>
        </w:tc>
        <w:tc>
          <w:tcPr>
            <w:tcW w:w="1336" w:type="dxa"/>
            <w:gridSpan w:val="4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0562969" w14:textId="77777777" w:rsidR="00B914F7" w:rsidRPr="006506DA" w:rsidRDefault="00B914F7" w:rsidP="00B914F7">
            <w:pPr>
              <w:ind w:left="57"/>
            </w:pP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47F566B" w14:textId="77777777" w:rsidR="00B914F7" w:rsidRPr="006506DA" w:rsidRDefault="00B914F7" w:rsidP="00B914F7">
            <w:pPr>
              <w:ind w:left="57"/>
              <w:rPr>
                <w:b/>
              </w:rPr>
            </w:pPr>
            <w:r w:rsidRPr="006506DA">
              <w:rPr>
                <w:b/>
              </w:rPr>
              <w:t>Practice Credit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4232655" w14:textId="77777777" w:rsidR="00B914F7" w:rsidRPr="006506DA" w:rsidRDefault="00B914F7" w:rsidP="00B914F7">
            <w:pPr>
              <w:ind w:left="57"/>
            </w:pPr>
          </w:p>
        </w:tc>
        <w:tc>
          <w:tcPr>
            <w:tcW w:w="106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3824E17" w14:textId="77777777" w:rsidR="00B914F7" w:rsidRPr="006506DA" w:rsidRDefault="00B914F7" w:rsidP="00B914F7">
            <w:pPr>
              <w:ind w:left="57"/>
              <w:rPr>
                <w:b/>
              </w:rPr>
            </w:pPr>
            <w:r w:rsidRPr="006506DA">
              <w:rPr>
                <w:b/>
              </w:rPr>
              <w:t>Aesthetic Education</w:t>
            </w:r>
          </w:p>
          <w:p w14:paraId="78FA9F92" w14:textId="77777777" w:rsidR="00B914F7" w:rsidRPr="006506DA" w:rsidRDefault="00B914F7" w:rsidP="00B914F7">
            <w:pPr>
              <w:ind w:left="57"/>
              <w:rPr>
                <w:b/>
              </w:rPr>
            </w:pPr>
            <w:r w:rsidRPr="006506DA">
              <w:rPr>
                <w:b/>
              </w:rPr>
              <w:t>Credit</w:t>
            </w:r>
          </w:p>
        </w:tc>
        <w:tc>
          <w:tcPr>
            <w:tcW w:w="99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1C88E5D" w14:textId="77777777" w:rsidR="00B914F7" w:rsidRPr="006506DA" w:rsidRDefault="00B914F7" w:rsidP="00B914F7">
            <w:pPr>
              <w:ind w:left="57"/>
            </w:pPr>
          </w:p>
        </w:tc>
      </w:tr>
      <w:tr w:rsidR="00B914F7" w:rsidRPr="006506DA" w14:paraId="500BDFED" w14:textId="77777777" w:rsidTr="00F41491">
        <w:trPr>
          <w:trHeight w:val="516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5935F5A" w14:textId="77777777" w:rsidR="00B914F7" w:rsidRPr="006506DA" w:rsidRDefault="00B914F7" w:rsidP="00B914F7">
            <w:pPr>
              <w:jc w:val="center"/>
              <w:rPr>
                <w:b/>
              </w:rPr>
            </w:pPr>
            <w:r w:rsidRPr="006506DA">
              <w:rPr>
                <w:b/>
              </w:rPr>
              <w:t>Credit Hours Per Week</w:t>
            </w:r>
          </w:p>
        </w:tc>
        <w:tc>
          <w:tcPr>
            <w:tcW w:w="1059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DCF7E" w14:textId="77777777" w:rsidR="00B914F7" w:rsidRPr="006506DA" w:rsidRDefault="00B914F7" w:rsidP="00B914F7"/>
        </w:tc>
        <w:tc>
          <w:tcPr>
            <w:tcW w:w="1634" w:type="dxa"/>
            <w:gridSpan w:val="2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FFC5" w14:textId="77777777" w:rsidR="00B914F7" w:rsidRPr="006506DA" w:rsidRDefault="00B914F7" w:rsidP="00B914F7">
            <w:pPr>
              <w:jc w:val="center"/>
              <w:rPr>
                <w:b/>
              </w:rPr>
            </w:pPr>
            <w:r w:rsidRPr="006506DA">
              <w:rPr>
                <w:b/>
              </w:rPr>
              <w:t>Education on The Hard-Working Spirit Credit Hours</w:t>
            </w:r>
          </w:p>
        </w:tc>
        <w:tc>
          <w:tcPr>
            <w:tcW w:w="1336" w:type="dxa"/>
            <w:gridSpan w:val="4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EDA1117" w14:textId="77777777" w:rsidR="00B914F7" w:rsidRPr="006506DA" w:rsidRDefault="00B914F7" w:rsidP="00B914F7">
            <w:pPr>
              <w:ind w:left="57"/>
            </w:pP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ECE882E" w14:textId="77777777" w:rsidR="00B914F7" w:rsidRPr="006506DA" w:rsidRDefault="00B914F7" w:rsidP="00B914F7">
            <w:pPr>
              <w:rPr>
                <w:b/>
              </w:rPr>
            </w:pPr>
            <w:hyperlink r:id="rId7" w:tgtFrame="_blank" w:history="1">
              <w:r w:rsidRPr="006506DA">
                <w:rPr>
                  <w:b/>
                </w:rPr>
                <w:t>Language of Instruction</w:t>
              </w:r>
            </w:hyperlink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44B2B0C" w14:textId="3389807E" w:rsidR="00B914F7" w:rsidRPr="006506DA" w:rsidRDefault="000A64B7" w:rsidP="00B914F7">
            <w:pPr>
              <w:ind w:left="57"/>
            </w:pPr>
            <w:r>
              <w:t>English</w:t>
            </w:r>
          </w:p>
        </w:tc>
        <w:tc>
          <w:tcPr>
            <w:tcW w:w="106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22BF3923" w14:textId="77777777" w:rsidR="00B914F7" w:rsidRPr="006506DA" w:rsidRDefault="00B914F7" w:rsidP="00B914F7">
            <w:pPr>
              <w:ind w:left="57"/>
              <w:rPr>
                <w:b/>
              </w:rPr>
            </w:pPr>
            <w:r w:rsidRPr="006506DA">
              <w:rPr>
                <w:b/>
              </w:rPr>
              <w:t> Honors </w:t>
            </w:r>
          </w:p>
          <w:p w14:paraId="1CFFBC06" w14:textId="77777777" w:rsidR="00B914F7" w:rsidRPr="006506DA" w:rsidRDefault="00B914F7" w:rsidP="00B914F7">
            <w:pPr>
              <w:ind w:left="57"/>
            </w:pPr>
            <w:r w:rsidRPr="006506DA">
              <w:rPr>
                <w:b/>
              </w:rPr>
              <w:t>Course</w:t>
            </w:r>
          </w:p>
        </w:tc>
        <w:tc>
          <w:tcPr>
            <w:tcW w:w="99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9DCF086" w14:textId="77777777" w:rsidR="00B914F7" w:rsidRPr="006506DA" w:rsidRDefault="00B914F7" w:rsidP="00B914F7">
            <w:pPr>
              <w:ind w:left="57"/>
            </w:pPr>
            <w:r w:rsidRPr="006506DA">
              <w:t>□Yes</w:t>
            </w:r>
          </w:p>
          <w:p w14:paraId="4C03FCF3" w14:textId="01B538D1" w:rsidR="00B914F7" w:rsidRPr="006506DA" w:rsidRDefault="000A64B7" w:rsidP="00B914F7">
            <w:pPr>
              <w:ind w:left="57"/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0516725" wp14:editId="277F73DC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30480</wp:posOffset>
                      </wp:positionV>
                      <wp:extent cx="107950" cy="143510"/>
                      <wp:effectExtent l="38100" t="38100" r="44450" b="34290"/>
                      <wp:wrapNone/>
                      <wp:docPr id="2000434044" name="Ink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7950" cy="143510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79CE4B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3" o:spid="_x0000_s1026" type="#_x0000_t75" style="position:absolute;margin-left:4.1pt;margin-top:1.9pt;width:9.45pt;height:1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">
                      <v:imagedata r:id="rId9" o:title=""/>
                    </v:shape>
                  </w:pict>
                </mc:Fallback>
              </mc:AlternateContent>
            </w:r>
            <w:r w:rsidR="00B914F7" w:rsidRPr="006506DA">
              <w:t>□No</w:t>
            </w:r>
          </w:p>
        </w:tc>
      </w:tr>
      <w:tr w:rsidR="00B914F7" w:rsidRPr="006506DA" w14:paraId="4B0D08A4" w14:textId="77777777" w:rsidTr="00F2069D">
        <w:trPr>
          <w:trHeight w:val="312"/>
        </w:trPr>
        <w:tc>
          <w:tcPr>
            <w:tcW w:w="156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29A6548" w14:textId="77777777" w:rsidR="00B914F7" w:rsidRPr="006506DA" w:rsidRDefault="00B914F7" w:rsidP="00B914F7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 xml:space="preserve">Course </w:t>
            </w:r>
            <w:r>
              <w:rPr>
                <w:b/>
                <w:color w:val="000000"/>
              </w:rPr>
              <w:t>T</w:t>
            </w:r>
            <w:r>
              <w:rPr>
                <w:rFonts w:hint="eastAsia"/>
                <w:b/>
                <w:color w:val="000000"/>
              </w:rPr>
              <w:t>ype</w:t>
            </w:r>
          </w:p>
        </w:tc>
        <w:tc>
          <w:tcPr>
            <w:tcW w:w="3898" w:type="dxa"/>
            <w:gridSpan w:val="6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282C615C" w14:textId="77777777" w:rsidR="00B914F7" w:rsidRDefault="00B914F7" w:rsidP="00B914F7">
            <w:pPr>
              <w:spacing w:line="340" w:lineRule="exact"/>
              <w:jc w:val="left"/>
              <w:rPr>
                <w:color w:val="000000"/>
                <w:szCs w:val="21"/>
              </w:rPr>
            </w:pPr>
            <w:r w:rsidRPr="00DB70C0">
              <w:rPr>
                <w:color w:val="000000"/>
                <w:szCs w:val="21"/>
              </w:rPr>
              <w:t xml:space="preserve">□Core General Education Course </w:t>
            </w:r>
            <w:r w:rsidRPr="00DB70C0">
              <w:rPr>
                <w:color w:val="000000"/>
                <w:sz w:val="28"/>
              </w:rPr>
              <w:t>□</w:t>
            </w:r>
            <w:r w:rsidRPr="00DB70C0">
              <w:rPr>
                <w:color w:val="000000"/>
                <w:szCs w:val="21"/>
              </w:rPr>
              <w:t xml:space="preserve">Specific General Education Course □Basic Course in General Discipline </w:t>
            </w:r>
          </w:p>
          <w:p w14:paraId="499FD6F8" w14:textId="77777777" w:rsidR="00B914F7" w:rsidRPr="00DB70C0" w:rsidRDefault="00B914F7" w:rsidP="00B914F7">
            <w:pPr>
              <w:spacing w:line="340" w:lineRule="exact"/>
              <w:jc w:val="left"/>
              <w:rPr>
                <w:color w:val="000000"/>
              </w:rPr>
            </w:pPr>
            <w:r w:rsidRPr="00DB70C0">
              <w:rPr>
                <w:color w:val="000000"/>
                <w:szCs w:val="21"/>
              </w:rPr>
              <w:t xml:space="preserve">□Others </w:t>
            </w:r>
          </w:p>
        </w:tc>
        <w:tc>
          <w:tcPr>
            <w:tcW w:w="3898" w:type="dxa"/>
            <w:gridSpan w:val="5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406CC0D" w14:textId="77777777" w:rsidR="00B914F7" w:rsidRDefault="00B914F7" w:rsidP="00B914F7">
            <w:pPr>
              <w:spacing w:line="340" w:lineRule="exact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2+</w:t>
            </w:r>
            <w:r>
              <w:rPr>
                <w:color w:val="000000"/>
                <w:szCs w:val="21"/>
              </w:rPr>
              <w:t xml:space="preserve">X </w:t>
            </w:r>
            <w:r w:rsidRPr="003D69AA">
              <w:rPr>
                <w:color w:val="000000"/>
                <w:szCs w:val="21"/>
              </w:rPr>
              <w:t>Major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：</w:t>
            </w:r>
          </w:p>
          <w:p w14:paraId="63CECE09" w14:textId="77777777" w:rsidR="00B914F7" w:rsidRDefault="00B914F7" w:rsidP="00B914F7">
            <w:pPr>
              <w:spacing w:line="340" w:lineRule="exact"/>
              <w:jc w:val="left"/>
              <w:rPr>
                <w:color w:val="000000"/>
                <w:szCs w:val="21"/>
              </w:rPr>
            </w:pPr>
            <w:r w:rsidRPr="00DB70C0">
              <w:rPr>
                <w:color w:val="000000"/>
                <w:szCs w:val="21"/>
              </w:rPr>
              <w:t xml:space="preserve">□Professional Core Course </w:t>
            </w:r>
          </w:p>
          <w:p w14:paraId="0FC31BC5" w14:textId="77777777" w:rsidR="00B914F7" w:rsidRPr="00DB70C0" w:rsidRDefault="00B914F7" w:rsidP="00B914F7">
            <w:pPr>
              <w:spacing w:line="340" w:lineRule="exact"/>
              <w:jc w:val="left"/>
              <w:rPr>
                <w:color w:val="000000"/>
              </w:rPr>
            </w:pPr>
            <w:r w:rsidRPr="00DB70C0">
              <w:rPr>
                <w:color w:val="000000"/>
                <w:szCs w:val="21"/>
              </w:rPr>
              <w:t>□Professional Advanced Course</w:t>
            </w:r>
          </w:p>
        </w:tc>
      </w:tr>
      <w:tr w:rsidR="00B914F7" w:rsidRPr="006506DA" w14:paraId="70009270" w14:textId="77777777" w:rsidTr="00F2069D">
        <w:trPr>
          <w:trHeight w:val="312"/>
        </w:trPr>
        <w:tc>
          <w:tcPr>
            <w:tcW w:w="156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E115EA2" w14:textId="77777777" w:rsidR="00B914F7" w:rsidRPr="006506DA" w:rsidRDefault="00B914F7" w:rsidP="00B914F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98" w:type="dxa"/>
            <w:gridSpan w:val="6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0B684BA4" w14:textId="77777777" w:rsidR="00B914F7" w:rsidRPr="00DB70C0" w:rsidRDefault="00B914F7" w:rsidP="00B914F7">
            <w:pPr>
              <w:spacing w:line="340" w:lineRule="exact"/>
              <w:rPr>
                <w:color w:val="000000"/>
                <w:szCs w:val="21"/>
              </w:rPr>
            </w:pPr>
          </w:p>
        </w:tc>
        <w:tc>
          <w:tcPr>
            <w:tcW w:w="3898" w:type="dxa"/>
            <w:gridSpan w:val="5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B2A7D70" w14:textId="00E7969C" w:rsidR="00B914F7" w:rsidRDefault="00B914F7" w:rsidP="00B914F7">
            <w:pPr>
              <w:spacing w:line="340" w:lineRule="exact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Non </w:t>
            </w:r>
            <w:r>
              <w:rPr>
                <w:rFonts w:hint="eastAsia"/>
                <w:color w:val="000000"/>
                <w:szCs w:val="21"/>
              </w:rPr>
              <w:t>2+</w:t>
            </w:r>
            <w:r>
              <w:rPr>
                <w:color w:val="000000"/>
                <w:szCs w:val="21"/>
              </w:rPr>
              <w:t>X</w:t>
            </w:r>
            <w:r w:rsidRPr="003D69AA">
              <w:rPr>
                <w:color w:val="000000"/>
                <w:szCs w:val="21"/>
              </w:rPr>
              <w:t xml:space="preserve"> Major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：</w:t>
            </w:r>
          </w:p>
          <w:p w14:paraId="681B07A1" w14:textId="4F899A8A" w:rsidR="00B914F7" w:rsidRPr="00DB70C0" w:rsidRDefault="00F01F5D" w:rsidP="00B914F7">
            <w:pPr>
              <w:spacing w:line="340" w:lineRule="exact"/>
              <w:jc w:val="left"/>
              <w:rPr>
                <w:color w:val="000000"/>
                <w:szCs w:val="21"/>
              </w:rPr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4A66A60E" wp14:editId="6CFA7EFE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48895</wp:posOffset>
                      </wp:positionV>
                      <wp:extent cx="107950" cy="143510"/>
                      <wp:effectExtent l="38100" t="38100" r="44450" b="34290"/>
                      <wp:wrapNone/>
                      <wp:docPr id="1833392919" name="Ink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7950" cy="143510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245F16" id="Ink 3" o:spid="_x0000_s1026" type="#_x0000_t75" style="position:absolute;margin-left:-.95pt;margin-top:3.35pt;width:9.45pt;height:1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">
                      <v:imagedata r:id="rId9" o:title=""/>
                    </v:shape>
                  </w:pict>
                </mc:Fallback>
              </mc:AlternateContent>
            </w:r>
            <w:r w:rsidR="00B914F7" w:rsidRPr="00DB70C0">
              <w:rPr>
                <w:color w:val="000000"/>
                <w:szCs w:val="21"/>
              </w:rPr>
              <w:t>□Professional Compulsory Course □Professional Elective Course</w:t>
            </w:r>
          </w:p>
        </w:tc>
      </w:tr>
      <w:tr w:rsidR="00B914F7" w:rsidRPr="006506DA" w14:paraId="03C32999" w14:textId="77777777" w:rsidTr="00F2069D">
        <w:trPr>
          <w:trHeight w:val="1171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0FEC28E" w14:textId="77777777" w:rsidR="00B914F7" w:rsidRPr="006506DA" w:rsidRDefault="00B914F7" w:rsidP="00B914F7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Course Objectives</w:t>
            </w:r>
          </w:p>
        </w:tc>
        <w:tc>
          <w:tcPr>
            <w:tcW w:w="7796" w:type="dxa"/>
            <w:gridSpan w:val="11"/>
            <w:tcBorders>
              <w:left w:val="single" w:sz="8" w:space="0" w:color="auto"/>
            </w:tcBorders>
            <w:shd w:val="clear" w:color="auto" w:fill="auto"/>
          </w:tcPr>
          <w:p w14:paraId="18A0101F" w14:textId="3D414610" w:rsidR="00F01F5D" w:rsidRPr="00392CB0" w:rsidRDefault="00F01F5D" w:rsidP="00F01F5D">
            <w:pPr>
              <w:autoSpaceDE w:val="0"/>
              <w:autoSpaceDN w:val="0"/>
              <w:adjustRightInd w:val="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Th</w:t>
            </w:r>
            <w:r w:rsidR="008265D0">
              <w:rPr>
                <w:rFonts w:ascii="Arial" w:hAnsi="Arial" w:cs="Arial"/>
                <w:szCs w:val="21"/>
              </w:rPr>
              <w:t>is</w:t>
            </w:r>
            <w:r>
              <w:rPr>
                <w:rFonts w:ascii="Arial" w:hAnsi="Arial" w:cs="Arial"/>
                <w:szCs w:val="21"/>
              </w:rPr>
              <w:t xml:space="preserve"> course aims to enable students to have a </w:t>
            </w:r>
            <w:r>
              <w:rPr>
                <w:rFonts w:ascii="Arial" w:hAnsi="Arial" w:cs="Arial" w:hint="eastAsia"/>
                <w:szCs w:val="21"/>
              </w:rPr>
              <w:t>de</w:t>
            </w:r>
            <w:r>
              <w:rPr>
                <w:rFonts w:ascii="Arial" w:hAnsi="Arial" w:cs="Arial"/>
                <w:szCs w:val="21"/>
              </w:rPr>
              <w:t xml:space="preserve">eper understanding of </w:t>
            </w:r>
            <w:r>
              <w:rPr>
                <w:rFonts w:ascii="Arial" w:hAnsi="Arial" w:cs="Arial" w:hint="eastAsia"/>
                <w:szCs w:val="21"/>
              </w:rPr>
              <w:t>Int</w:t>
            </w:r>
            <w:r>
              <w:rPr>
                <w:rFonts w:ascii="Arial" w:hAnsi="Arial" w:cs="Arial"/>
                <w:szCs w:val="21"/>
              </w:rPr>
              <w:t>ernational Trade and International Macroeconomics, and prepare students for advanced study in International Economics.</w:t>
            </w:r>
            <w:r w:rsidR="008265D0">
              <w:rPr>
                <w:rFonts w:ascii="Arial" w:hAnsi="Arial" w:cs="Arial"/>
                <w:szCs w:val="21"/>
              </w:rPr>
              <w:t xml:space="preserve"> </w:t>
            </w:r>
            <w:r w:rsidRPr="00392CB0">
              <w:rPr>
                <w:rFonts w:ascii="Arial" w:hAnsi="Arial" w:cs="Arial"/>
                <w:szCs w:val="21"/>
              </w:rPr>
              <w:t xml:space="preserve">By the end of the </w:t>
            </w:r>
            <w:r>
              <w:rPr>
                <w:rFonts w:ascii="Arial" w:hAnsi="Arial" w:cs="Arial"/>
                <w:szCs w:val="21"/>
              </w:rPr>
              <w:t xml:space="preserve">semester students are </w:t>
            </w:r>
            <w:r w:rsidRPr="00392CB0">
              <w:rPr>
                <w:rFonts w:ascii="Arial" w:hAnsi="Arial" w:cs="Arial"/>
                <w:szCs w:val="21"/>
              </w:rPr>
              <w:t>expect</w:t>
            </w:r>
            <w:r>
              <w:rPr>
                <w:rFonts w:ascii="Arial" w:hAnsi="Arial" w:cs="Arial"/>
                <w:szCs w:val="21"/>
              </w:rPr>
              <w:t>ed</w:t>
            </w:r>
            <w:r w:rsidRPr="00392CB0">
              <w:rPr>
                <w:rFonts w:ascii="Arial" w:hAnsi="Arial" w:cs="Arial"/>
                <w:szCs w:val="21"/>
              </w:rPr>
              <w:t xml:space="preserve"> </w:t>
            </w:r>
            <w:r>
              <w:rPr>
                <w:rFonts w:ascii="Arial" w:hAnsi="Arial" w:cs="Arial"/>
                <w:szCs w:val="21"/>
              </w:rPr>
              <w:t xml:space="preserve">to </w:t>
            </w:r>
          </w:p>
          <w:p w14:paraId="4F972657" w14:textId="07A08008" w:rsidR="00F01F5D" w:rsidRDefault="00F01F5D" w:rsidP="00F01F5D">
            <w:pPr>
              <w:pStyle w:val="-1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Understand the fundamental mechanism and classic models in International Trade and International Macroeconomics</w:t>
            </w:r>
          </w:p>
          <w:p w14:paraId="287AA2C5" w14:textId="46289010" w:rsidR="00B914F7" w:rsidRPr="00F01F5D" w:rsidRDefault="00F01F5D" w:rsidP="00F01F5D">
            <w:pPr>
              <w:pStyle w:val="ListParagraph"/>
              <w:numPr>
                <w:ilvl w:val="0"/>
                <w:numId w:val="4"/>
              </w:numPr>
              <w:ind w:firstLineChars="0"/>
              <w:rPr>
                <w:rFonts w:eastAsia="KaiTi"/>
              </w:rPr>
            </w:pPr>
            <w:r w:rsidRPr="00F01F5D">
              <w:rPr>
                <w:rFonts w:ascii="Arial" w:hAnsi="Arial" w:cs="Arial"/>
                <w:szCs w:val="21"/>
              </w:rPr>
              <w:t>Apply what have been learned in class to analyze real-world issues and evaluate policies in international economics</w:t>
            </w:r>
          </w:p>
        </w:tc>
      </w:tr>
      <w:tr w:rsidR="00B914F7" w:rsidRPr="006506DA" w14:paraId="66A87FFF" w14:textId="77777777" w:rsidTr="00F2069D">
        <w:trPr>
          <w:trHeight w:val="1120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11F97BD" w14:textId="77777777" w:rsidR="00B914F7" w:rsidRPr="006506DA" w:rsidRDefault="00B914F7" w:rsidP="00B914F7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Course Description</w:t>
            </w:r>
          </w:p>
        </w:tc>
        <w:tc>
          <w:tcPr>
            <w:tcW w:w="7796" w:type="dxa"/>
            <w:gridSpan w:val="11"/>
            <w:tcBorders>
              <w:left w:val="single" w:sz="8" w:space="0" w:color="auto"/>
            </w:tcBorders>
            <w:shd w:val="clear" w:color="auto" w:fill="auto"/>
          </w:tcPr>
          <w:p w14:paraId="640D2099" w14:textId="7259DAD5" w:rsidR="00B914F7" w:rsidRPr="006506DA" w:rsidRDefault="00F01F5D" w:rsidP="00B914F7">
            <w:pPr>
              <w:rPr>
                <w:color w:val="000000"/>
              </w:rPr>
            </w:pPr>
            <w:r w:rsidRPr="00392CB0">
              <w:rPr>
                <w:rFonts w:ascii="Arial" w:hAnsi="Arial" w:cs="Arial"/>
                <w:szCs w:val="21"/>
              </w:rPr>
              <w:t xml:space="preserve">This is a one-semester </w:t>
            </w:r>
            <w:r>
              <w:rPr>
                <w:rFonts w:ascii="Arial" w:hAnsi="Arial" w:cs="Arial"/>
                <w:szCs w:val="21"/>
              </w:rPr>
              <w:t xml:space="preserve">course in </w:t>
            </w:r>
            <w:r w:rsidRPr="00392CB0">
              <w:rPr>
                <w:rFonts w:ascii="Arial" w:hAnsi="Arial" w:cs="Arial"/>
                <w:szCs w:val="21"/>
              </w:rPr>
              <w:t xml:space="preserve">International Economics. In the first half of the course, </w:t>
            </w:r>
            <w:r>
              <w:rPr>
                <w:rFonts w:ascii="Arial" w:hAnsi="Arial" w:cs="Arial"/>
                <w:szCs w:val="21"/>
              </w:rPr>
              <w:t xml:space="preserve">we will cover classic </w:t>
            </w:r>
            <w:r w:rsidRPr="00392CB0">
              <w:rPr>
                <w:rFonts w:ascii="Arial" w:hAnsi="Arial" w:cs="Arial"/>
                <w:szCs w:val="21"/>
              </w:rPr>
              <w:t>trade models</w:t>
            </w:r>
            <w:r>
              <w:rPr>
                <w:rFonts w:ascii="Arial" w:hAnsi="Arial" w:cs="Arial"/>
                <w:szCs w:val="21"/>
              </w:rPr>
              <w:t xml:space="preserve"> to </w:t>
            </w:r>
            <w:r w:rsidRPr="00392CB0">
              <w:rPr>
                <w:rFonts w:ascii="Arial" w:hAnsi="Arial" w:cs="Arial"/>
                <w:szCs w:val="21"/>
              </w:rPr>
              <w:t>explain why countries trade</w:t>
            </w:r>
            <w:r>
              <w:rPr>
                <w:rFonts w:ascii="Arial" w:hAnsi="Arial" w:cs="Arial"/>
                <w:szCs w:val="21"/>
              </w:rPr>
              <w:t xml:space="preserve"> with each other,</w:t>
            </w:r>
            <w:r w:rsidRPr="00392CB0">
              <w:rPr>
                <w:rFonts w:ascii="Arial" w:hAnsi="Arial" w:cs="Arial"/>
                <w:szCs w:val="21"/>
              </w:rPr>
              <w:t xml:space="preserve"> and then </w:t>
            </w:r>
            <w:r>
              <w:rPr>
                <w:rFonts w:ascii="Arial" w:hAnsi="Arial" w:cs="Arial"/>
                <w:szCs w:val="21"/>
              </w:rPr>
              <w:t xml:space="preserve">we will introduce </w:t>
            </w:r>
            <w:r w:rsidRPr="00392CB0">
              <w:rPr>
                <w:rFonts w:ascii="Arial" w:hAnsi="Arial" w:cs="Arial"/>
                <w:szCs w:val="21"/>
              </w:rPr>
              <w:t xml:space="preserve">trade policies, such as trade barriers and international trade agreements. In the second half of this </w:t>
            </w:r>
            <w:proofErr w:type="gramStart"/>
            <w:r w:rsidRPr="00392CB0">
              <w:rPr>
                <w:rFonts w:ascii="Arial" w:hAnsi="Arial" w:cs="Arial"/>
                <w:szCs w:val="21"/>
              </w:rPr>
              <w:t>course</w:t>
            </w:r>
            <w:proofErr w:type="gramEnd"/>
            <w:r w:rsidRPr="00392CB0">
              <w:rPr>
                <w:rFonts w:ascii="Arial" w:hAnsi="Arial" w:cs="Arial"/>
                <w:szCs w:val="21"/>
              </w:rPr>
              <w:t xml:space="preserve"> we </w:t>
            </w:r>
            <w:r>
              <w:rPr>
                <w:rFonts w:ascii="Arial" w:hAnsi="Arial" w:cs="Arial"/>
                <w:szCs w:val="21"/>
              </w:rPr>
              <w:t xml:space="preserve">will </w:t>
            </w:r>
            <w:r w:rsidRPr="00392CB0">
              <w:rPr>
                <w:rFonts w:ascii="Arial" w:hAnsi="Arial" w:cs="Arial"/>
                <w:szCs w:val="21"/>
              </w:rPr>
              <w:t>focus on how exchange rate is determined and how different exchange regimes work.</w:t>
            </w:r>
            <w:r>
              <w:rPr>
                <w:rFonts w:ascii="Arial" w:hAnsi="Arial" w:cs="Arial" w:hint="eastAsia"/>
                <w:szCs w:val="21"/>
              </w:rPr>
              <w:t xml:space="preserve"> We will also </w:t>
            </w:r>
            <w:r>
              <w:rPr>
                <w:rFonts w:ascii="Arial" w:hAnsi="Arial" w:cs="Arial"/>
                <w:szCs w:val="21"/>
              </w:rPr>
              <w:t xml:space="preserve">relate models learned in class with some </w:t>
            </w:r>
            <w:r w:rsidR="00A74773">
              <w:rPr>
                <w:rFonts w:ascii="Arial" w:hAnsi="Arial" w:cs="Arial"/>
                <w:szCs w:val="21"/>
              </w:rPr>
              <w:t>cutting-edge</w:t>
            </w:r>
            <w:r>
              <w:rPr>
                <w:rFonts w:ascii="Arial" w:hAnsi="Arial" w:cs="Arial" w:hint="eastAsia"/>
                <w:szCs w:val="21"/>
              </w:rPr>
              <w:t xml:space="preserve"> </w:t>
            </w:r>
            <w:r>
              <w:rPr>
                <w:rFonts w:ascii="Arial" w:hAnsi="Arial" w:cs="Arial"/>
                <w:szCs w:val="21"/>
              </w:rPr>
              <w:t>research</w:t>
            </w:r>
            <w:r>
              <w:rPr>
                <w:rFonts w:ascii="Arial" w:hAnsi="Arial" w:cs="Arial" w:hint="eastAsia"/>
                <w:szCs w:val="21"/>
              </w:rPr>
              <w:t xml:space="preserve"> </w:t>
            </w:r>
            <w:r>
              <w:rPr>
                <w:rFonts w:ascii="Arial" w:hAnsi="Arial" w:cs="Arial"/>
                <w:szCs w:val="21"/>
              </w:rPr>
              <w:t>question</w:t>
            </w:r>
            <w:r>
              <w:rPr>
                <w:rFonts w:ascii="Arial" w:hAnsi="Arial" w:cs="Arial" w:hint="eastAsia"/>
                <w:szCs w:val="21"/>
              </w:rPr>
              <w:t xml:space="preserve">s </w:t>
            </w:r>
            <w:r>
              <w:rPr>
                <w:rFonts w:ascii="Arial" w:hAnsi="Arial" w:cs="Arial"/>
                <w:szCs w:val="21"/>
              </w:rPr>
              <w:t>to spark student</w:t>
            </w:r>
            <w:r>
              <w:rPr>
                <w:rFonts w:ascii="Arial" w:hAnsi="Arial" w:cs="Arial" w:hint="eastAsia"/>
                <w:szCs w:val="21"/>
              </w:rPr>
              <w:t>s</w:t>
            </w:r>
            <w:r>
              <w:rPr>
                <w:rFonts w:ascii="Arial" w:hAnsi="Arial" w:cs="Arial"/>
                <w:szCs w:val="21"/>
              </w:rPr>
              <w:t>’ interests in research in</w:t>
            </w:r>
            <w:r>
              <w:rPr>
                <w:rFonts w:ascii="Arial" w:hAnsi="Arial" w:cs="Arial" w:hint="eastAsia"/>
                <w:szCs w:val="21"/>
              </w:rPr>
              <w:t xml:space="preserve"> </w:t>
            </w:r>
            <w:r>
              <w:rPr>
                <w:rFonts w:ascii="Arial" w:hAnsi="Arial" w:cs="Arial"/>
                <w:szCs w:val="21"/>
              </w:rPr>
              <w:t>International Economics.</w:t>
            </w:r>
          </w:p>
        </w:tc>
      </w:tr>
      <w:tr w:rsidR="00B914F7" w:rsidRPr="006506DA" w14:paraId="730122E6" w14:textId="77777777" w:rsidTr="00F2069D">
        <w:trPr>
          <w:trHeight w:val="956"/>
        </w:trPr>
        <w:tc>
          <w:tcPr>
            <w:tcW w:w="9356" w:type="dxa"/>
            <w:gridSpan w:val="13"/>
            <w:shd w:val="clear" w:color="auto" w:fill="auto"/>
          </w:tcPr>
          <w:p w14:paraId="6943417C" w14:textId="77777777" w:rsidR="00B914F7" w:rsidRPr="006506DA" w:rsidRDefault="00B914F7" w:rsidP="00B914F7">
            <w:pPr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Course Requirements:</w:t>
            </w:r>
          </w:p>
          <w:p w14:paraId="543428CF" w14:textId="7C2D1CD4" w:rsidR="00B914F7" w:rsidRPr="006506DA" w:rsidRDefault="00F01F5D" w:rsidP="00B914F7">
            <w:pPr>
              <w:rPr>
                <w:b/>
                <w:color w:val="000000"/>
              </w:rPr>
            </w:pPr>
            <w:r>
              <w:rPr>
                <w:rFonts w:ascii="Arial" w:hAnsi="Arial" w:cs="Arial"/>
                <w:szCs w:val="21"/>
              </w:rPr>
              <w:t xml:space="preserve">Students are expected to have a comprehensive understanding of the concepts </w:t>
            </w:r>
            <w:r w:rsidRPr="00392CB0">
              <w:rPr>
                <w:rFonts w:ascii="Arial" w:hAnsi="Arial" w:cs="Arial"/>
                <w:szCs w:val="21"/>
              </w:rPr>
              <w:t>learned in principles of microeconomics and macroeconomics</w:t>
            </w:r>
            <w:r>
              <w:rPr>
                <w:rFonts w:ascii="Arial" w:hAnsi="Arial" w:cs="Arial"/>
                <w:szCs w:val="21"/>
              </w:rPr>
              <w:t>, as well as the fundamentals in c</w:t>
            </w:r>
            <w:r w:rsidRPr="00392CB0">
              <w:rPr>
                <w:rFonts w:ascii="Arial" w:hAnsi="Arial" w:cs="Arial"/>
                <w:szCs w:val="21"/>
              </w:rPr>
              <w:t>alculus.</w:t>
            </w:r>
          </w:p>
          <w:p w14:paraId="700E6337" w14:textId="77777777" w:rsidR="00B914F7" w:rsidRPr="006506DA" w:rsidRDefault="00B914F7" w:rsidP="00B914F7">
            <w:pPr>
              <w:rPr>
                <w:b/>
                <w:color w:val="000000"/>
              </w:rPr>
            </w:pPr>
          </w:p>
        </w:tc>
      </w:tr>
      <w:tr w:rsidR="00B914F7" w:rsidRPr="006506DA" w14:paraId="465C1721" w14:textId="77777777" w:rsidTr="00F2069D">
        <w:trPr>
          <w:trHeight w:val="957"/>
        </w:trPr>
        <w:tc>
          <w:tcPr>
            <w:tcW w:w="9356" w:type="dxa"/>
            <w:gridSpan w:val="13"/>
            <w:shd w:val="clear" w:color="auto" w:fill="auto"/>
          </w:tcPr>
          <w:p w14:paraId="0DA4BD61" w14:textId="77777777" w:rsidR="00B914F7" w:rsidRPr="006506DA" w:rsidRDefault="00B914F7" w:rsidP="00B914F7">
            <w:pPr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lastRenderedPageBreak/>
              <w:t>Teaching Methods:</w:t>
            </w:r>
          </w:p>
          <w:p w14:paraId="1ACD7976" w14:textId="79C97EB2" w:rsidR="00F01F5D" w:rsidRPr="00F01F5D" w:rsidRDefault="008265D0" w:rsidP="00F01F5D">
            <w:pPr>
              <w:pStyle w:val="ListParagraph"/>
              <w:numPr>
                <w:ilvl w:val="0"/>
                <w:numId w:val="5"/>
              </w:numPr>
              <w:ind w:firstLineChars="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90% </w:t>
            </w:r>
            <w:r w:rsidR="00F01F5D" w:rsidRPr="00F01F5D">
              <w:rPr>
                <w:rFonts w:ascii="Arial" w:hAnsi="Arial" w:cs="Arial"/>
                <w:szCs w:val="21"/>
              </w:rPr>
              <w:t>Lecture</w:t>
            </w:r>
          </w:p>
          <w:p w14:paraId="0401F467" w14:textId="4303D5B7" w:rsidR="00B914F7" w:rsidRPr="00F01F5D" w:rsidRDefault="008265D0" w:rsidP="00F01F5D">
            <w:pPr>
              <w:pStyle w:val="ListParagraph"/>
              <w:numPr>
                <w:ilvl w:val="0"/>
                <w:numId w:val="5"/>
              </w:numPr>
              <w:ind w:firstLineChars="0"/>
              <w:rPr>
                <w:b/>
                <w:color w:val="000000"/>
              </w:rPr>
            </w:pPr>
            <w:r>
              <w:rPr>
                <w:rFonts w:ascii="Arial" w:hAnsi="Arial" w:cs="Arial"/>
                <w:szCs w:val="21"/>
              </w:rPr>
              <w:t xml:space="preserve">10% </w:t>
            </w:r>
            <w:r w:rsidR="00F01F5D">
              <w:rPr>
                <w:rFonts w:ascii="Arial" w:hAnsi="Arial" w:cs="Arial"/>
                <w:szCs w:val="21"/>
              </w:rPr>
              <w:t>G</w:t>
            </w:r>
            <w:r w:rsidR="00F01F5D" w:rsidRPr="00F01F5D">
              <w:rPr>
                <w:rFonts w:ascii="Arial" w:hAnsi="Arial" w:cs="Arial"/>
                <w:szCs w:val="21"/>
              </w:rPr>
              <w:t xml:space="preserve">roup </w:t>
            </w:r>
            <w:r w:rsidR="00F01F5D" w:rsidRPr="00F01F5D">
              <w:rPr>
                <w:rFonts w:ascii="Arial" w:hAnsi="Arial" w:cs="Arial"/>
                <w:szCs w:val="21"/>
              </w:rPr>
              <w:t xml:space="preserve">presentation at the end of the semester </w:t>
            </w:r>
          </w:p>
          <w:p w14:paraId="5A09D5CE" w14:textId="77777777" w:rsidR="00B914F7" w:rsidRPr="006506DA" w:rsidRDefault="00B914F7" w:rsidP="00B914F7">
            <w:pPr>
              <w:rPr>
                <w:b/>
                <w:color w:val="000000"/>
              </w:rPr>
            </w:pPr>
          </w:p>
        </w:tc>
      </w:tr>
      <w:tr w:rsidR="00B914F7" w:rsidRPr="006506DA" w14:paraId="029D458B" w14:textId="77777777" w:rsidTr="00F2069D">
        <w:trPr>
          <w:trHeight w:val="689"/>
        </w:trPr>
        <w:tc>
          <w:tcPr>
            <w:tcW w:w="9356" w:type="dxa"/>
            <w:gridSpan w:val="13"/>
            <w:shd w:val="clear" w:color="auto" w:fill="auto"/>
          </w:tcPr>
          <w:p w14:paraId="55F017EA" w14:textId="77777777" w:rsidR="00B914F7" w:rsidRDefault="00B914F7" w:rsidP="00B914F7">
            <w:pPr>
              <w:rPr>
                <w:b/>
                <w:color w:val="000000"/>
              </w:rPr>
            </w:pPr>
            <w:r w:rsidRPr="006506DA">
              <w:rPr>
                <w:b/>
              </w:rPr>
              <w:t>Course Director's Ac</w:t>
            </w:r>
            <w:r w:rsidRPr="006506DA">
              <w:rPr>
                <w:b/>
                <w:color w:val="000000"/>
              </w:rPr>
              <w:t xml:space="preserve">ademic Background: </w:t>
            </w:r>
          </w:p>
          <w:p w14:paraId="6E449366" w14:textId="77777777" w:rsidR="00F01F5D" w:rsidRDefault="00F01F5D" w:rsidP="00F01F5D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Yang Zhou</w:t>
            </w:r>
          </w:p>
          <w:p w14:paraId="57D7B4E7" w14:textId="77777777" w:rsidR="00F01F5D" w:rsidRDefault="00F01F5D" w:rsidP="00F01F5D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Ph.D. Economics, University of Minnesota Twin Cities 2021</w:t>
            </w:r>
          </w:p>
          <w:p w14:paraId="0943DDB5" w14:textId="77777777" w:rsidR="00F01F5D" w:rsidRDefault="00F01F5D" w:rsidP="00F01F5D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M</w:t>
            </w:r>
            <w:r>
              <w:rPr>
                <w:rFonts w:ascii="Arial" w:hAnsi="Arial" w:cs="Arial"/>
                <w:szCs w:val="21"/>
              </w:rPr>
              <w:t>.</w:t>
            </w:r>
            <w:r>
              <w:rPr>
                <w:rFonts w:ascii="Arial" w:hAnsi="Arial" w:cs="Arial" w:hint="eastAsia"/>
                <w:szCs w:val="21"/>
              </w:rPr>
              <w:t>A</w:t>
            </w:r>
            <w:r>
              <w:rPr>
                <w:rFonts w:ascii="Arial" w:hAnsi="Arial" w:cs="Arial"/>
                <w:szCs w:val="21"/>
              </w:rPr>
              <w:t>. Economics, University of Minnesota Twin Cities 2018</w:t>
            </w:r>
          </w:p>
          <w:p w14:paraId="0B9D2FCA" w14:textId="77777777" w:rsidR="00F01F5D" w:rsidRDefault="00F01F5D" w:rsidP="00F01F5D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B.S. Economics, University of Minnesota Twin Cities 2015</w:t>
            </w:r>
          </w:p>
          <w:p w14:paraId="0419D672" w14:textId="283F135A" w:rsidR="00F01F5D" w:rsidRPr="006506DA" w:rsidRDefault="00F01F5D" w:rsidP="00F01F5D">
            <w:pPr>
              <w:rPr>
                <w:b/>
                <w:color w:val="000000"/>
              </w:rPr>
            </w:pPr>
            <w:r>
              <w:rPr>
                <w:rFonts w:ascii="Arial" w:hAnsi="Arial" w:cs="Arial"/>
                <w:szCs w:val="21"/>
              </w:rPr>
              <w:t>B.A. Statistics, University of Minnesota Twin Cities 2015</w:t>
            </w:r>
          </w:p>
          <w:p w14:paraId="76D25E6C" w14:textId="77777777" w:rsidR="00B914F7" w:rsidRPr="006506DA" w:rsidRDefault="00B914F7" w:rsidP="00B914F7">
            <w:pPr>
              <w:rPr>
                <w:b/>
                <w:color w:val="000000"/>
              </w:rPr>
            </w:pPr>
          </w:p>
          <w:p w14:paraId="7F7D3D15" w14:textId="77777777" w:rsidR="00B914F7" w:rsidRPr="006506DA" w:rsidRDefault="00B914F7" w:rsidP="00B914F7">
            <w:pPr>
              <w:rPr>
                <w:b/>
                <w:color w:val="000000"/>
              </w:rPr>
            </w:pPr>
          </w:p>
        </w:tc>
      </w:tr>
      <w:tr w:rsidR="00B914F7" w:rsidRPr="006506DA" w14:paraId="0CC3290E" w14:textId="77777777" w:rsidTr="00F2069D">
        <w:trPr>
          <w:trHeight w:val="420"/>
        </w:trPr>
        <w:tc>
          <w:tcPr>
            <w:tcW w:w="9356" w:type="dxa"/>
            <w:gridSpan w:val="13"/>
            <w:shd w:val="clear" w:color="auto" w:fill="auto"/>
            <w:vAlign w:val="center"/>
          </w:tcPr>
          <w:p w14:paraId="2C31C79A" w14:textId="77777777" w:rsidR="00B914F7" w:rsidRPr="006506DA" w:rsidRDefault="00B914F7" w:rsidP="00B914F7">
            <w:pPr>
              <w:jc w:val="center"/>
              <w:rPr>
                <w:b/>
                <w:bCs/>
                <w:color w:val="000000"/>
              </w:rPr>
            </w:pPr>
            <w:r w:rsidRPr="006506DA">
              <w:rPr>
                <w:b/>
                <w:bCs/>
                <w:color w:val="000000"/>
              </w:rPr>
              <w:t>Members of Teaching Team</w:t>
            </w:r>
          </w:p>
        </w:tc>
      </w:tr>
      <w:tr w:rsidR="00B914F7" w:rsidRPr="006506DA" w14:paraId="3E6E4370" w14:textId="77777777" w:rsidTr="006D2473">
        <w:trPr>
          <w:trHeight w:val="465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60AA3DA" w14:textId="77777777" w:rsidR="00B914F7" w:rsidRPr="006506DA" w:rsidRDefault="00B914F7" w:rsidP="00B914F7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Name</w:t>
            </w:r>
          </w:p>
        </w:tc>
        <w:tc>
          <w:tcPr>
            <w:tcW w:w="105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CAAA6" w14:textId="77777777" w:rsidR="00B914F7" w:rsidRPr="006506DA" w:rsidRDefault="00B914F7" w:rsidP="00B914F7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Gender</w:t>
            </w:r>
          </w:p>
        </w:tc>
        <w:tc>
          <w:tcPr>
            <w:tcW w:w="207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6B94F3" w14:textId="77777777" w:rsidR="00B914F7" w:rsidRPr="006506DA" w:rsidRDefault="00B914F7" w:rsidP="00B914F7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Professional Title</w:t>
            </w:r>
          </w:p>
        </w:tc>
        <w:tc>
          <w:tcPr>
            <w:tcW w:w="189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3DDE4E" w14:textId="77777777" w:rsidR="00B914F7" w:rsidRPr="006506DA" w:rsidRDefault="00B914F7" w:rsidP="00B914F7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Department</w:t>
            </w:r>
          </w:p>
        </w:tc>
        <w:tc>
          <w:tcPr>
            <w:tcW w:w="2777" w:type="dxa"/>
            <w:gridSpan w:val="3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98640BC" w14:textId="77777777" w:rsidR="00B914F7" w:rsidRPr="006506DA" w:rsidRDefault="00B914F7" w:rsidP="00B914F7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Responsibility</w:t>
            </w:r>
          </w:p>
        </w:tc>
      </w:tr>
      <w:tr w:rsidR="00F01F5D" w:rsidRPr="006506DA" w14:paraId="62D84C1A" w14:textId="77777777" w:rsidTr="006D2473">
        <w:trPr>
          <w:trHeight w:val="465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71E030B" w14:textId="0151FBD9" w:rsidR="00F01F5D" w:rsidRPr="006506DA" w:rsidRDefault="00F01F5D" w:rsidP="00F01F5D">
            <w:pPr>
              <w:rPr>
                <w:color w:val="000000"/>
              </w:rPr>
            </w:pPr>
            <w:r>
              <w:rPr>
                <w:rFonts w:ascii="Arial" w:eastAsia="Times New Roman" w:hAnsi="Arial" w:cs="Arial"/>
                <w:kern w:val="0"/>
                <w:szCs w:val="21"/>
                <w:u w:color="000000"/>
              </w:rPr>
              <w:t>Yang Zhou</w:t>
            </w:r>
          </w:p>
        </w:tc>
        <w:tc>
          <w:tcPr>
            <w:tcW w:w="105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7914A" w14:textId="41376F66" w:rsidR="00F01F5D" w:rsidRPr="006506DA" w:rsidRDefault="00F01F5D" w:rsidP="00F01F5D">
            <w:pPr>
              <w:rPr>
                <w:color w:val="000000"/>
              </w:rPr>
            </w:pPr>
            <w:r>
              <w:rPr>
                <w:rFonts w:ascii="Arial" w:eastAsia="Times New Roman" w:hAnsi="Arial" w:cs="Arial"/>
                <w:kern w:val="0"/>
                <w:szCs w:val="21"/>
                <w:u w:color="000000"/>
              </w:rPr>
              <w:t>Female</w:t>
            </w:r>
          </w:p>
        </w:tc>
        <w:tc>
          <w:tcPr>
            <w:tcW w:w="207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3DAAFC" w14:textId="06B98569" w:rsidR="00F01F5D" w:rsidRPr="006506DA" w:rsidRDefault="00F01F5D" w:rsidP="00F01F5D">
            <w:pPr>
              <w:rPr>
                <w:color w:val="000000"/>
              </w:rPr>
            </w:pPr>
            <w:r>
              <w:rPr>
                <w:rFonts w:ascii="Arial" w:eastAsia="Times New Roman" w:hAnsi="Arial" w:cs="Arial"/>
                <w:kern w:val="0"/>
                <w:szCs w:val="21"/>
                <w:u w:color="000000"/>
              </w:rPr>
              <w:t>Assistant P</w:t>
            </w:r>
            <w:r w:rsidRPr="00392CB0">
              <w:rPr>
                <w:rFonts w:ascii="Arial" w:eastAsia="Times New Roman" w:hAnsi="Arial" w:cs="Arial"/>
                <w:kern w:val="0"/>
                <w:szCs w:val="21"/>
                <w:u w:color="000000"/>
              </w:rPr>
              <w:t>rofessor</w:t>
            </w:r>
          </w:p>
        </w:tc>
        <w:tc>
          <w:tcPr>
            <w:tcW w:w="189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D55CFD" w14:textId="163FB48F" w:rsidR="00F01F5D" w:rsidRPr="006506DA" w:rsidRDefault="00F01F5D" w:rsidP="00F01F5D">
            <w:pPr>
              <w:rPr>
                <w:color w:val="000000"/>
              </w:rPr>
            </w:pPr>
            <w:r>
              <w:rPr>
                <w:rFonts w:ascii="Arial" w:eastAsia="Times New Roman" w:hAnsi="Arial" w:cs="Arial" w:hint="eastAsia"/>
                <w:kern w:val="0"/>
                <w:szCs w:val="21"/>
                <w:u w:color="000000"/>
              </w:rPr>
              <w:t>World</w:t>
            </w:r>
            <w:r>
              <w:rPr>
                <w:rFonts w:ascii="Arial" w:eastAsia="Times New Roman" w:hAnsi="Arial" w:cs="Arial"/>
                <w:kern w:val="0"/>
                <w:szCs w:val="21"/>
                <w:u w:color="000000"/>
              </w:rPr>
              <w:t xml:space="preserve"> </w:t>
            </w:r>
            <w:r w:rsidRPr="00392CB0">
              <w:rPr>
                <w:rFonts w:ascii="Arial" w:eastAsia="Times New Roman" w:hAnsi="Arial" w:cs="Arial"/>
                <w:kern w:val="0"/>
                <w:szCs w:val="21"/>
                <w:u w:color="000000"/>
              </w:rPr>
              <w:t>Economics</w:t>
            </w:r>
          </w:p>
        </w:tc>
        <w:tc>
          <w:tcPr>
            <w:tcW w:w="2777" w:type="dxa"/>
            <w:gridSpan w:val="3"/>
            <w:tcBorders>
              <w:left w:val="single" w:sz="8" w:space="0" w:color="auto"/>
            </w:tcBorders>
            <w:shd w:val="clear" w:color="auto" w:fill="auto"/>
          </w:tcPr>
          <w:p w14:paraId="055D2EC7" w14:textId="77777777" w:rsidR="00F01F5D" w:rsidRPr="006506DA" w:rsidRDefault="00F01F5D" w:rsidP="00F01F5D">
            <w:pPr>
              <w:rPr>
                <w:color w:val="000000"/>
              </w:rPr>
            </w:pPr>
          </w:p>
        </w:tc>
      </w:tr>
      <w:tr w:rsidR="00F01F5D" w:rsidRPr="006506DA" w14:paraId="39126F67" w14:textId="77777777" w:rsidTr="006D2473">
        <w:trPr>
          <w:trHeight w:val="465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1EEC6A0C" w14:textId="77777777" w:rsidR="00F01F5D" w:rsidRPr="006506DA" w:rsidRDefault="00F01F5D" w:rsidP="00F01F5D">
            <w:pPr>
              <w:rPr>
                <w:color w:val="000000"/>
              </w:rPr>
            </w:pPr>
          </w:p>
        </w:tc>
        <w:tc>
          <w:tcPr>
            <w:tcW w:w="105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EAD17B6" w14:textId="77777777" w:rsidR="00F01F5D" w:rsidRPr="006506DA" w:rsidRDefault="00F01F5D" w:rsidP="00F01F5D">
            <w:pPr>
              <w:rPr>
                <w:color w:val="000000"/>
              </w:rPr>
            </w:pPr>
          </w:p>
        </w:tc>
        <w:tc>
          <w:tcPr>
            <w:tcW w:w="207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1739AA8" w14:textId="77777777" w:rsidR="00F01F5D" w:rsidRPr="006506DA" w:rsidRDefault="00F01F5D" w:rsidP="00F01F5D">
            <w:pPr>
              <w:rPr>
                <w:color w:val="000000"/>
              </w:rPr>
            </w:pPr>
          </w:p>
        </w:tc>
        <w:tc>
          <w:tcPr>
            <w:tcW w:w="189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B00C41F" w14:textId="77777777" w:rsidR="00F01F5D" w:rsidRPr="006506DA" w:rsidRDefault="00F01F5D" w:rsidP="00F01F5D">
            <w:pPr>
              <w:rPr>
                <w:color w:val="000000"/>
              </w:rPr>
            </w:pPr>
          </w:p>
        </w:tc>
        <w:tc>
          <w:tcPr>
            <w:tcW w:w="2777" w:type="dxa"/>
            <w:gridSpan w:val="3"/>
            <w:tcBorders>
              <w:left w:val="single" w:sz="8" w:space="0" w:color="auto"/>
            </w:tcBorders>
            <w:shd w:val="clear" w:color="auto" w:fill="auto"/>
          </w:tcPr>
          <w:p w14:paraId="7770AFBA" w14:textId="77777777" w:rsidR="00F01F5D" w:rsidRPr="006506DA" w:rsidRDefault="00F01F5D" w:rsidP="00F01F5D">
            <w:pPr>
              <w:rPr>
                <w:color w:val="000000"/>
              </w:rPr>
            </w:pPr>
          </w:p>
        </w:tc>
      </w:tr>
      <w:tr w:rsidR="00F01F5D" w:rsidRPr="006506DA" w14:paraId="12E5DC72" w14:textId="77777777" w:rsidTr="006D2473">
        <w:trPr>
          <w:trHeight w:val="465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13488D93" w14:textId="77777777" w:rsidR="00F01F5D" w:rsidRPr="006506DA" w:rsidRDefault="00F01F5D" w:rsidP="00F01F5D">
            <w:pPr>
              <w:rPr>
                <w:b/>
                <w:color w:val="000000"/>
              </w:rPr>
            </w:pPr>
          </w:p>
        </w:tc>
        <w:tc>
          <w:tcPr>
            <w:tcW w:w="105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16BFAFF" w14:textId="77777777" w:rsidR="00F01F5D" w:rsidRPr="006506DA" w:rsidRDefault="00F01F5D" w:rsidP="00F01F5D">
            <w:pPr>
              <w:rPr>
                <w:b/>
                <w:color w:val="000000"/>
              </w:rPr>
            </w:pPr>
          </w:p>
        </w:tc>
        <w:tc>
          <w:tcPr>
            <w:tcW w:w="207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688E421" w14:textId="77777777" w:rsidR="00F01F5D" w:rsidRPr="006506DA" w:rsidRDefault="00F01F5D" w:rsidP="00F01F5D">
            <w:pPr>
              <w:rPr>
                <w:b/>
                <w:color w:val="000000"/>
              </w:rPr>
            </w:pPr>
          </w:p>
        </w:tc>
        <w:tc>
          <w:tcPr>
            <w:tcW w:w="189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CA47126" w14:textId="77777777" w:rsidR="00F01F5D" w:rsidRPr="006506DA" w:rsidRDefault="00F01F5D" w:rsidP="00F01F5D">
            <w:pPr>
              <w:rPr>
                <w:b/>
                <w:color w:val="000000"/>
              </w:rPr>
            </w:pPr>
          </w:p>
        </w:tc>
        <w:tc>
          <w:tcPr>
            <w:tcW w:w="2777" w:type="dxa"/>
            <w:gridSpan w:val="3"/>
            <w:tcBorders>
              <w:left w:val="single" w:sz="8" w:space="0" w:color="auto"/>
            </w:tcBorders>
            <w:shd w:val="clear" w:color="auto" w:fill="auto"/>
          </w:tcPr>
          <w:p w14:paraId="5B958A42" w14:textId="77777777" w:rsidR="00F01F5D" w:rsidRPr="006506DA" w:rsidRDefault="00F01F5D" w:rsidP="00F01F5D">
            <w:pPr>
              <w:rPr>
                <w:b/>
                <w:color w:val="000000"/>
              </w:rPr>
            </w:pPr>
          </w:p>
        </w:tc>
      </w:tr>
      <w:tr w:rsidR="00F01F5D" w:rsidRPr="006506DA" w14:paraId="239DE2DB" w14:textId="77777777" w:rsidTr="00F2069D">
        <w:trPr>
          <w:trHeight w:val="1519"/>
        </w:trPr>
        <w:tc>
          <w:tcPr>
            <w:tcW w:w="9356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1746CC6C" w14:textId="330DE70B" w:rsidR="00F01F5D" w:rsidRPr="006506DA" w:rsidRDefault="006D2473" w:rsidP="00F01F5D">
            <w:pPr>
              <w:rPr>
                <w:rFonts w:eastAsia="FangSong_GB2312"/>
                <w:b/>
                <w:color w:val="000000"/>
                <w:sz w:val="24"/>
              </w:rPr>
            </w:pPr>
            <w:r>
              <w:rPr>
                <w:b/>
                <w:color w:val="000000"/>
              </w:rPr>
              <w:t xml:space="preserve">Tentative </w:t>
            </w:r>
            <w:r w:rsidR="00F01F5D" w:rsidRPr="006506DA">
              <w:rPr>
                <w:b/>
                <w:color w:val="000000"/>
              </w:rPr>
              <w:t>Course Schedule</w:t>
            </w:r>
            <w:r>
              <w:rPr>
                <w:color w:val="000000"/>
              </w:rPr>
              <w:t>:</w:t>
            </w:r>
          </w:p>
          <w:p w14:paraId="1C9C6601" w14:textId="77777777" w:rsidR="006D2473" w:rsidRDefault="006D2473" w:rsidP="00F01F5D">
            <w:pPr>
              <w:rPr>
                <w:rFonts w:ascii="Arial" w:hAnsi="Arial" w:cs="Arial"/>
                <w:b/>
                <w:bCs/>
                <w:szCs w:val="21"/>
              </w:rPr>
            </w:pPr>
          </w:p>
          <w:p w14:paraId="3C4DA19A" w14:textId="167EE178" w:rsidR="00F01F5D" w:rsidRPr="00392CB0" w:rsidRDefault="00F01F5D" w:rsidP="00F01F5D">
            <w:pPr>
              <w:rPr>
                <w:rFonts w:ascii="Arial" w:hAnsi="Arial" w:cs="Arial"/>
                <w:szCs w:val="21"/>
              </w:rPr>
            </w:pPr>
            <w:r w:rsidRPr="00392CB0">
              <w:rPr>
                <w:rFonts w:ascii="Arial" w:hAnsi="Arial" w:cs="Arial"/>
                <w:b/>
                <w:szCs w:val="21"/>
              </w:rPr>
              <w:t xml:space="preserve">Module 1: Introduction </w:t>
            </w:r>
          </w:p>
          <w:p w14:paraId="093D7115" w14:textId="77777777" w:rsidR="00F01F5D" w:rsidRPr="00580CF1" w:rsidRDefault="00F01F5D" w:rsidP="00F01F5D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ascii="Arial" w:hAnsi="Arial" w:cs="Arial"/>
                <w:szCs w:val="21"/>
              </w:rPr>
            </w:pPr>
            <w:r w:rsidRPr="00580CF1">
              <w:rPr>
                <w:rFonts w:ascii="Arial" w:hAnsi="Arial" w:cs="Arial"/>
                <w:szCs w:val="21"/>
              </w:rPr>
              <w:t>Syllabus</w:t>
            </w:r>
            <w:r w:rsidRPr="00580CF1">
              <w:rPr>
                <w:rFonts w:ascii="Arial" w:hAnsi="Arial" w:cs="Arial" w:hint="eastAsia"/>
                <w:szCs w:val="21"/>
              </w:rPr>
              <w:t>,</w:t>
            </w:r>
            <w:r w:rsidRPr="00580CF1">
              <w:rPr>
                <w:rFonts w:ascii="Arial" w:hAnsi="Arial" w:cs="Arial"/>
                <w:szCs w:val="21"/>
              </w:rPr>
              <w:t xml:space="preserve"> discussion organization, and snapshot of international trade</w:t>
            </w:r>
          </w:p>
          <w:p w14:paraId="1527E7D5" w14:textId="77777777" w:rsidR="00F01F5D" w:rsidRDefault="00F01F5D" w:rsidP="00F01F5D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B</w:t>
            </w:r>
            <w:r>
              <w:rPr>
                <w:rFonts w:ascii="Arial" w:hAnsi="Arial" w:cs="Arial"/>
                <w:szCs w:val="21"/>
              </w:rPr>
              <w:t>rief introduction of international trade</w:t>
            </w:r>
          </w:p>
          <w:p w14:paraId="36F58882" w14:textId="77777777" w:rsidR="00F01F5D" w:rsidRPr="00580CF1" w:rsidRDefault="00F01F5D" w:rsidP="00F01F5D">
            <w:pPr>
              <w:pStyle w:val="ListParagraph"/>
              <w:ind w:left="675" w:firstLineChars="0" w:firstLine="0"/>
              <w:rPr>
                <w:rFonts w:ascii="Arial" w:hAnsi="Arial" w:cs="Arial"/>
                <w:szCs w:val="21"/>
              </w:rPr>
            </w:pPr>
          </w:p>
          <w:p w14:paraId="0482AA90" w14:textId="77777777" w:rsidR="00F01F5D" w:rsidRPr="00392CB0" w:rsidRDefault="00F01F5D" w:rsidP="00F01F5D">
            <w:pPr>
              <w:pStyle w:val="-11"/>
              <w:numPr>
                <w:ilvl w:val="0"/>
                <w:numId w:val="2"/>
              </w:numPr>
              <w:ind w:firstLineChars="0"/>
              <w:rPr>
                <w:rFonts w:ascii="Arial" w:hAnsi="Arial" w:cs="Arial"/>
                <w:b/>
                <w:szCs w:val="21"/>
              </w:rPr>
            </w:pPr>
            <w:r w:rsidRPr="00392CB0">
              <w:rPr>
                <w:rFonts w:ascii="Arial" w:hAnsi="Arial" w:cs="Arial"/>
                <w:b/>
                <w:szCs w:val="21"/>
              </w:rPr>
              <w:t>International Trade</w:t>
            </w:r>
          </w:p>
          <w:p w14:paraId="23D606CB" w14:textId="77777777" w:rsidR="00F01F5D" w:rsidRPr="00392CB0" w:rsidRDefault="00F01F5D" w:rsidP="00F01F5D">
            <w:pPr>
              <w:rPr>
                <w:rFonts w:ascii="Arial" w:hAnsi="Arial" w:cs="Arial"/>
                <w:b/>
                <w:szCs w:val="21"/>
              </w:rPr>
            </w:pPr>
            <w:r w:rsidRPr="00392CB0">
              <w:rPr>
                <w:rFonts w:ascii="Arial" w:hAnsi="Arial" w:cs="Arial"/>
                <w:b/>
                <w:szCs w:val="21"/>
              </w:rPr>
              <w:t>Module 2:</w:t>
            </w:r>
            <w:r w:rsidRPr="00392CB0">
              <w:rPr>
                <w:rFonts w:ascii="Arial" w:hAnsi="Arial" w:cs="Arial"/>
                <w:szCs w:val="21"/>
              </w:rPr>
              <w:t xml:space="preserve"> </w:t>
            </w:r>
            <w:r w:rsidRPr="00392CB0">
              <w:rPr>
                <w:rFonts w:ascii="Arial" w:hAnsi="Arial" w:cs="Arial"/>
                <w:b/>
                <w:szCs w:val="21"/>
              </w:rPr>
              <w:t xml:space="preserve">The Ricardian Model  </w:t>
            </w:r>
          </w:p>
          <w:p w14:paraId="64CF613A" w14:textId="77777777" w:rsidR="00F01F5D" w:rsidRPr="00392CB0" w:rsidRDefault="00F01F5D" w:rsidP="00F01F5D">
            <w:pPr>
              <w:pStyle w:val="-11"/>
              <w:ind w:firstLineChars="0" w:firstLine="0"/>
              <w:rPr>
                <w:rFonts w:ascii="Arial" w:hAnsi="Arial" w:cs="Arial"/>
                <w:i/>
                <w:szCs w:val="21"/>
              </w:rPr>
            </w:pPr>
            <w:r w:rsidRPr="00392CB0">
              <w:rPr>
                <w:rFonts w:ascii="Arial" w:hAnsi="Arial" w:cs="Arial"/>
                <w:i/>
                <w:szCs w:val="21"/>
              </w:rPr>
              <w:t xml:space="preserve">Chapter 2 in </w:t>
            </w:r>
            <w:r w:rsidRPr="00392CB0">
              <w:rPr>
                <w:rFonts w:ascii="Arial" w:hAnsi="Arial" w:cs="Arial"/>
                <w:bCs/>
                <w:i/>
                <w:szCs w:val="21"/>
              </w:rPr>
              <w:t>Robert C (2011).</w:t>
            </w:r>
          </w:p>
          <w:p w14:paraId="02D1D2DA" w14:textId="77777777" w:rsidR="00F01F5D" w:rsidRPr="00392CB0" w:rsidRDefault="00F01F5D" w:rsidP="00F01F5D">
            <w:pPr>
              <w:pStyle w:val="-11"/>
              <w:ind w:firstLineChars="0" w:firstLine="0"/>
              <w:rPr>
                <w:rFonts w:ascii="Arial" w:hAnsi="Arial" w:cs="Arial"/>
                <w:b/>
                <w:szCs w:val="21"/>
              </w:rPr>
            </w:pPr>
          </w:p>
          <w:p w14:paraId="4692B46F" w14:textId="77777777" w:rsidR="00F01F5D" w:rsidRPr="00392CB0" w:rsidRDefault="00F01F5D" w:rsidP="00F01F5D">
            <w:pPr>
              <w:rPr>
                <w:rFonts w:ascii="Arial" w:hAnsi="Arial" w:cs="Arial"/>
                <w:szCs w:val="21"/>
              </w:rPr>
            </w:pPr>
            <w:r w:rsidRPr="00392CB0">
              <w:rPr>
                <w:rFonts w:ascii="Arial" w:hAnsi="Arial" w:cs="Arial"/>
                <w:b/>
                <w:szCs w:val="21"/>
              </w:rPr>
              <w:t>Module 3: The Specific-Factor Model</w:t>
            </w:r>
            <w:r w:rsidRPr="00392CB0">
              <w:rPr>
                <w:rFonts w:ascii="Arial" w:hAnsi="Arial" w:cs="Arial"/>
                <w:szCs w:val="21"/>
              </w:rPr>
              <w:t xml:space="preserve"> </w:t>
            </w:r>
          </w:p>
          <w:p w14:paraId="0520EBDC" w14:textId="77777777" w:rsidR="00F01F5D" w:rsidRPr="00392CB0" w:rsidRDefault="00F01F5D" w:rsidP="00F01F5D">
            <w:pPr>
              <w:pStyle w:val="-11"/>
              <w:ind w:firstLineChars="0" w:firstLine="0"/>
              <w:rPr>
                <w:rFonts w:ascii="Arial" w:hAnsi="Arial" w:cs="Arial"/>
                <w:i/>
                <w:szCs w:val="21"/>
              </w:rPr>
            </w:pPr>
            <w:r w:rsidRPr="00392CB0">
              <w:rPr>
                <w:rFonts w:ascii="Arial" w:hAnsi="Arial" w:cs="Arial"/>
                <w:i/>
                <w:szCs w:val="21"/>
              </w:rPr>
              <w:t>Chapter 3 in Robert C (2011).</w:t>
            </w:r>
          </w:p>
          <w:p w14:paraId="5B04FFC2" w14:textId="77777777" w:rsidR="00F01F5D" w:rsidRPr="00392CB0" w:rsidRDefault="00F01F5D" w:rsidP="00F01F5D">
            <w:pPr>
              <w:rPr>
                <w:rFonts w:ascii="Arial" w:hAnsi="Arial" w:cs="Arial"/>
                <w:b/>
                <w:szCs w:val="21"/>
              </w:rPr>
            </w:pPr>
          </w:p>
          <w:p w14:paraId="69D48F17" w14:textId="77777777" w:rsidR="00F01F5D" w:rsidRPr="00392CB0" w:rsidRDefault="00F01F5D" w:rsidP="00F01F5D">
            <w:pPr>
              <w:rPr>
                <w:rFonts w:ascii="Arial" w:hAnsi="Arial" w:cs="Arial"/>
                <w:szCs w:val="21"/>
              </w:rPr>
            </w:pPr>
            <w:r w:rsidRPr="00392CB0">
              <w:rPr>
                <w:rFonts w:ascii="Arial" w:hAnsi="Arial" w:cs="Arial"/>
                <w:b/>
                <w:szCs w:val="21"/>
              </w:rPr>
              <w:t xml:space="preserve">Module 4: The Heckscher-Ohlin Model </w:t>
            </w:r>
          </w:p>
          <w:p w14:paraId="1A82487D" w14:textId="77777777" w:rsidR="00F01F5D" w:rsidRPr="00392CB0" w:rsidRDefault="00F01F5D" w:rsidP="00F01F5D">
            <w:pPr>
              <w:rPr>
                <w:rFonts w:ascii="Arial" w:hAnsi="Arial" w:cs="Arial"/>
                <w:i/>
                <w:szCs w:val="21"/>
              </w:rPr>
            </w:pPr>
            <w:r w:rsidRPr="00392CB0">
              <w:rPr>
                <w:rFonts w:ascii="Arial" w:hAnsi="Arial" w:cs="Arial"/>
                <w:i/>
                <w:szCs w:val="21"/>
              </w:rPr>
              <w:t xml:space="preserve">Chapter 4 in </w:t>
            </w:r>
            <w:r w:rsidRPr="00392CB0">
              <w:rPr>
                <w:rFonts w:ascii="Arial" w:hAnsi="Arial" w:cs="Arial"/>
                <w:bCs/>
                <w:i/>
                <w:szCs w:val="21"/>
              </w:rPr>
              <w:t>Robert C (2011).</w:t>
            </w:r>
          </w:p>
          <w:p w14:paraId="1323A2CD" w14:textId="77777777" w:rsidR="00F01F5D" w:rsidRPr="00392CB0" w:rsidRDefault="00F01F5D" w:rsidP="00F01F5D">
            <w:pPr>
              <w:rPr>
                <w:rFonts w:ascii="Arial" w:hAnsi="Arial" w:cs="Arial"/>
                <w:b/>
                <w:szCs w:val="21"/>
              </w:rPr>
            </w:pPr>
          </w:p>
          <w:p w14:paraId="59295F93" w14:textId="77777777" w:rsidR="00F01F5D" w:rsidRPr="00392CB0" w:rsidRDefault="00F01F5D" w:rsidP="00F01F5D">
            <w:pPr>
              <w:rPr>
                <w:rFonts w:ascii="Arial" w:hAnsi="Arial" w:cs="Arial"/>
                <w:szCs w:val="21"/>
              </w:rPr>
            </w:pPr>
            <w:r w:rsidRPr="00392CB0">
              <w:rPr>
                <w:rFonts w:ascii="Arial" w:hAnsi="Arial" w:cs="Arial"/>
                <w:b/>
                <w:szCs w:val="21"/>
              </w:rPr>
              <w:t xml:space="preserve">Module 5: Increasing Returns and Imperfect Competition </w:t>
            </w:r>
          </w:p>
          <w:p w14:paraId="234460B9" w14:textId="77777777" w:rsidR="00F01F5D" w:rsidRPr="00392CB0" w:rsidRDefault="00F01F5D" w:rsidP="00F01F5D">
            <w:pPr>
              <w:rPr>
                <w:rFonts w:ascii="Arial" w:hAnsi="Arial" w:cs="Arial"/>
                <w:i/>
                <w:szCs w:val="21"/>
              </w:rPr>
            </w:pPr>
            <w:r w:rsidRPr="00392CB0">
              <w:rPr>
                <w:rFonts w:ascii="Arial" w:hAnsi="Arial" w:cs="Arial"/>
                <w:i/>
                <w:szCs w:val="21"/>
              </w:rPr>
              <w:t xml:space="preserve">Chapter 6 in </w:t>
            </w:r>
            <w:r w:rsidRPr="00392CB0">
              <w:rPr>
                <w:rFonts w:ascii="Arial" w:hAnsi="Arial" w:cs="Arial"/>
                <w:bCs/>
                <w:i/>
                <w:szCs w:val="21"/>
              </w:rPr>
              <w:t>Robert C (2011).</w:t>
            </w:r>
          </w:p>
          <w:p w14:paraId="113F5647" w14:textId="77777777" w:rsidR="00F01F5D" w:rsidRPr="00392CB0" w:rsidRDefault="00F01F5D" w:rsidP="00F01F5D">
            <w:pPr>
              <w:rPr>
                <w:rFonts w:ascii="Arial" w:hAnsi="Arial" w:cs="Arial"/>
                <w:b/>
                <w:szCs w:val="21"/>
              </w:rPr>
            </w:pPr>
          </w:p>
          <w:p w14:paraId="45DD96B1" w14:textId="77777777" w:rsidR="00F01F5D" w:rsidRPr="00392CB0" w:rsidRDefault="00F01F5D" w:rsidP="00F01F5D">
            <w:pPr>
              <w:rPr>
                <w:rFonts w:ascii="Arial" w:hAnsi="Arial" w:cs="Arial"/>
                <w:szCs w:val="21"/>
              </w:rPr>
            </w:pPr>
            <w:r w:rsidRPr="00392CB0">
              <w:rPr>
                <w:rFonts w:ascii="Arial" w:hAnsi="Arial" w:cs="Arial"/>
                <w:b/>
                <w:szCs w:val="21"/>
              </w:rPr>
              <w:t>Module 6:</w:t>
            </w:r>
            <w:r w:rsidRPr="00392CB0">
              <w:rPr>
                <w:rFonts w:ascii="Arial" w:hAnsi="Arial" w:cs="Arial"/>
                <w:szCs w:val="21"/>
              </w:rPr>
              <w:t xml:space="preserve"> </w:t>
            </w:r>
            <w:r>
              <w:rPr>
                <w:rFonts w:ascii="Arial" w:hAnsi="Arial" w:cs="Arial" w:hint="eastAsia"/>
                <w:b/>
                <w:szCs w:val="21"/>
              </w:rPr>
              <w:t>Offshoring</w:t>
            </w:r>
            <w:r w:rsidRPr="00392CB0">
              <w:rPr>
                <w:rFonts w:ascii="Arial" w:hAnsi="Arial" w:cs="Arial"/>
                <w:b/>
                <w:szCs w:val="21"/>
              </w:rPr>
              <w:t xml:space="preserve"> </w:t>
            </w:r>
            <w:r w:rsidRPr="00392CB0">
              <w:rPr>
                <w:rFonts w:ascii="Arial" w:hAnsi="Arial" w:cs="Arial"/>
                <w:szCs w:val="21"/>
              </w:rPr>
              <w:t>(3 hours)</w:t>
            </w:r>
          </w:p>
          <w:p w14:paraId="60EAE748" w14:textId="77777777" w:rsidR="00F01F5D" w:rsidRPr="00392CB0" w:rsidRDefault="00F01F5D" w:rsidP="00F01F5D">
            <w:pPr>
              <w:rPr>
                <w:rFonts w:ascii="Arial" w:hAnsi="Arial" w:cs="Arial"/>
                <w:i/>
                <w:szCs w:val="21"/>
              </w:rPr>
            </w:pPr>
            <w:r w:rsidRPr="00392CB0">
              <w:rPr>
                <w:rFonts w:ascii="Arial" w:hAnsi="Arial" w:cs="Arial"/>
                <w:i/>
                <w:szCs w:val="21"/>
              </w:rPr>
              <w:t xml:space="preserve">Chapter 7 in </w:t>
            </w:r>
            <w:r w:rsidRPr="00392CB0">
              <w:rPr>
                <w:rFonts w:ascii="Arial" w:hAnsi="Arial" w:cs="Arial"/>
                <w:bCs/>
                <w:i/>
                <w:szCs w:val="21"/>
              </w:rPr>
              <w:t>Robert C (2011).</w:t>
            </w:r>
          </w:p>
          <w:p w14:paraId="2EB78CF9" w14:textId="77777777" w:rsidR="00F01F5D" w:rsidRPr="00392CB0" w:rsidRDefault="00F01F5D" w:rsidP="00F01F5D">
            <w:pPr>
              <w:rPr>
                <w:rFonts w:ascii="Arial" w:hAnsi="Arial" w:cs="Arial"/>
                <w:b/>
                <w:szCs w:val="21"/>
              </w:rPr>
            </w:pPr>
          </w:p>
          <w:p w14:paraId="52A801CD" w14:textId="77777777" w:rsidR="00F01F5D" w:rsidRPr="00392CB0" w:rsidRDefault="00F01F5D" w:rsidP="00F01F5D">
            <w:pPr>
              <w:rPr>
                <w:rFonts w:ascii="Arial" w:hAnsi="Arial" w:cs="Arial"/>
                <w:szCs w:val="21"/>
              </w:rPr>
            </w:pPr>
            <w:r w:rsidRPr="00392CB0">
              <w:rPr>
                <w:rFonts w:ascii="Arial" w:hAnsi="Arial" w:cs="Arial"/>
                <w:b/>
                <w:szCs w:val="21"/>
              </w:rPr>
              <w:t xml:space="preserve">Module 7: Tariffs and Quotas under Perfect Competition </w:t>
            </w:r>
          </w:p>
          <w:p w14:paraId="1259EB0B" w14:textId="77777777" w:rsidR="00F01F5D" w:rsidRPr="00392CB0" w:rsidRDefault="00F01F5D" w:rsidP="00F01F5D">
            <w:pPr>
              <w:rPr>
                <w:rFonts w:ascii="Arial" w:hAnsi="Arial" w:cs="Arial"/>
                <w:i/>
                <w:szCs w:val="21"/>
              </w:rPr>
            </w:pPr>
            <w:r w:rsidRPr="00392CB0">
              <w:rPr>
                <w:rFonts w:ascii="Arial" w:hAnsi="Arial" w:cs="Arial"/>
                <w:i/>
                <w:szCs w:val="21"/>
              </w:rPr>
              <w:t xml:space="preserve">Chapter 8 in </w:t>
            </w:r>
            <w:r w:rsidRPr="00392CB0">
              <w:rPr>
                <w:rFonts w:ascii="Arial" w:hAnsi="Arial" w:cs="Arial"/>
                <w:bCs/>
                <w:i/>
                <w:szCs w:val="21"/>
              </w:rPr>
              <w:t>Robert C (2011).</w:t>
            </w:r>
          </w:p>
          <w:p w14:paraId="1E9AC91C" w14:textId="77777777" w:rsidR="00F01F5D" w:rsidRPr="00392CB0" w:rsidRDefault="00F01F5D" w:rsidP="00F01F5D">
            <w:pPr>
              <w:rPr>
                <w:rFonts w:ascii="Arial" w:hAnsi="Arial" w:cs="Arial"/>
                <w:b/>
                <w:szCs w:val="21"/>
              </w:rPr>
            </w:pPr>
          </w:p>
          <w:p w14:paraId="3321EEEB" w14:textId="77777777" w:rsidR="00F01F5D" w:rsidRPr="00392CB0" w:rsidRDefault="00F01F5D" w:rsidP="00F01F5D">
            <w:pPr>
              <w:rPr>
                <w:rFonts w:ascii="Arial" w:hAnsi="Arial" w:cs="Arial"/>
                <w:b/>
                <w:szCs w:val="21"/>
              </w:rPr>
            </w:pPr>
            <w:r w:rsidRPr="00392CB0">
              <w:rPr>
                <w:rFonts w:ascii="Arial" w:hAnsi="Arial" w:cs="Arial"/>
                <w:b/>
                <w:szCs w:val="21"/>
              </w:rPr>
              <w:t>Midterm Exam (1.5 hours)</w:t>
            </w:r>
          </w:p>
          <w:p w14:paraId="37D78C9B" w14:textId="77777777" w:rsidR="00F01F5D" w:rsidRPr="00392CB0" w:rsidRDefault="00F01F5D" w:rsidP="00F01F5D">
            <w:pPr>
              <w:rPr>
                <w:rFonts w:ascii="Arial" w:hAnsi="Arial" w:cs="Arial"/>
                <w:b/>
                <w:szCs w:val="21"/>
              </w:rPr>
            </w:pPr>
          </w:p>
          <w:p w14:paraId="6339EAFA" w14:textId="77777777" w:rsidR="00F01F5D" w:rsidRPr="00392CB0" w:rsidRDefault="00F01F5D" w:rsidP="00F01F5D">
            <w:pPr>
              <w:pStyle w:val="-11"/>
              <w:numPr>
                <w:ilvl w:val="0"/>
                <w:numId w:val="2"/>
              </w:numPr>
              <w:ind w:firstLineChars="0"/>
              <w:rPr>
                <w:rFonts w:ascii="Arial" w:hAnsi="Arial" w:cs="Arial"/>
                <w:b/>
                <w:szCs w:val="21"/>
              </w:rPr>
            </w:pPr>
            <w:r w:rsidRPr="00392CB0">
              <w:rPr>
                <w:rFonts w:ascii="Arial" w:hAnsi="Arial" w:cs="Arial"/>
                <w:b/>
                <w:szCs w:val="21"/>
              </w:rPr>
              <w:t xml:space="preserve">International Macroeconomics </w:t>
            </w:r>
          </w:p>
          <w:p w14:paraId="3FF85C66" w14:textId="77777777" w:rsidR="00F01F5D" w:rsidRPr="00392CB0" w:rsidRDefault="00F01F5D" w:rsidP="00F01F5D">
            <w:pPr>
              <w:rPr>
                <w:rFonts w:ascii="Arial" w:hAnsi="Arial" w:cs="Arial"/>
                <w:szCs w:val="21"/>
              </w:rPr>
            </w:pPr>
            <w:r w:rsidRPr="00392CB0">
              <w:rPr>
                <w:rFonts w:ascii="Arial" w:hAnsi="Arial" w:cs="Arial"/>
                <w:b/>
                <w:szCs w:val="21"/>
              </w:rPr>
              <w:t>Module 8:</w:t>
            </w:r>
            <w:r w:rsidRPr="00392CB0">
              <w:rPr>
                <w:rFonts w:ascii="Arial" w:hAnsi="Arial" w:cs="Arial"/>
                <w:szCs w:val="21"/>
              </w:rPr>
              <w:t xml:space="preserve"> </w:t>
            </w:r>
            <w:r w:rsidRPr="00392CB0">
              <w:rPr>
                <w:rFonts w:ascii="Arial" w:hAnsi="Arial" w:cs="Arial"/>
                <w:b/>
                <w:szCs w:val="21"/>
              </w:rPr>
              <w:t xml:space="preserve">Introduction to Exchange Rates </w:t>
            </w:r>
          </w:p>
          <w:p w14:paraId="35FD9E41" w14:textId="77777777" w:rsidR="00F01F5D" w:rsidRPr="00392CB0" w:rsidRDefault="00F01F5D" w:rsidP="00F01F5D">
            <w:pPr>
              <w:rPr>
                <w:rFonts w:ascii="Arial" w:hAnsi="Arial" w:cs="Arial"/>
                <w:i/>
                <w:szCs w:val="21"/>
              </w:rPr>
            </w:pPr>
            <w:r w:rsidRPr="00392CB0">
              <w:rPr>
                <w:rFonts w:ascii="Arial" w:hAnsi="Arial" w:cs="Arial"/>
                <w:i/>
                <w:szCs w:val="21"/>
              </w:rPr>
              <w:t xml:space="preserve">Chapter 13 in </w:t>
            </w:r>
            <w:r w:rsidRPr="00392CB0">
              <w:rPr>
                <w:rFonts w:ascii="Arial" w:hAnsi="Arial" w:cs="Arial"/>
                <w:bCs/>
                <w:i/>
                <w:szCs w:val="21"/>
              </w:rPr>
              <w:t>Robert C (2011).</w:t>
            </w:r>
          </w:p>
          <w:p w14:paraId="5DACFE5A" w14:textId="77777777" w:rsidR="00F01F5D" w:rsidRPr="00392CB0" w:rsidRDefault="00F01F5D" w:rsidP="00F01F5D">
            <w:pPr>
              <w:rPr>
                <w:rFonts w:ascii="Arial" w:hAnsi="Arial" w:cs="Arial"/>
                <w:b/>
                <w:szCs w:val="21"/>
              </w:rPr>
            </w:pPr>
          </w:p>
          <w:p w14:paraId="50A69B43" w14:textId="77777777" w:rsidR="00F01F5D" w:rsidRPr="00392CB0" w:rsidRDefault="00F01F5D" w:rsidP="00F01F5D">
            <w:pPr>
              <w:rPr>
                <w:rFonts w:ascii="Arial" w:hAnsi="Arial" w:cs="Arial"/>
                <w:szCs w:val="21"/>
              </w:rPr>
            </w:pPr>
            <w:r w:rsidRPr="00392CB0">
              <w:rPr>
                <w:rFonts w:ascii="Arial" w:hAnsi="Arial" w:cs="Arial"/>
                <w:b/>
                <w:szCs w:val="21"/>
              </w:rPr>
              <w:t>Module 9:</w:t>
            </w:r>
            <w:r w:rsidRPr="00392CB0">
              <w:rPr>
                <w:rFonts w:ascii="Arial" w:hAnsi="Arial" w:cs="Arial"/>
                <w:szCs w:val="21"/>
              </w:rPr>
              <w:t xml:space="preserve"> </w:t>
            </w:r>
            <w:r w:rsidRPr="00392CB0">
              <w:rPr>
                <w:rFonts w:ascii="Arial" w:hAnsi="Arial" w:cs="Arial"/>
                <w:b/>
                <w:szCs w:val="21"/>
              </w:rPr>
              <w:t xml:space="preserve">The Monetary Approach of Exchange Rates </w:t>
            </w:r>
          </w:p>
          <w:p w14:paraId="229F27A4" w14:textId="77777777" w:rsidR="00F01F5D" w:rsidRPr="00392CB0" w:rsidRDefault="00F01F5D" w:rsidP="00F01F5D">
            <w:pPr>
              <w:widowControl/>
              <w:jc w:val="left"/>
              <w:rPr>
                <w:rFonts w:ascii="Arial" w:hAnsi="Arial" w:cs="Arial"/>
                <w:i/>
                <w:szCs w:val="21"/>
              </w:rPr>
            </w:pPr>
            <w:r w:rsidRPr="00392CB0">
              <w:rPr>
                <w:rFonts w:ascii="Arial" w:hAnsi="Arial" w:cs="Arial"/>
                <w:i/>
                <w:szCs w:val="21"/>
              </w:rPr>
              <w:lastRenderedPageBreak/>
              <w:t xml:space="preserve">Chapter 14 in </w:t>
            </w:r>
            <w:r w:rsidRPr="00392CB0">
              <w:rPr>
                <w:rFonts w:ascii="Arial" w:hAnsi="Arial" w:cs="Arial"/>
                <w:bCs/>
                <w:i/>
                <w:szCs w:val="21"/>
              </w:rPr>
              <w:t>Robert C (2011).</w:t>
            </w:r>
          </w:p>
          <w:p w14:paraId="4EC0914C" w14:textId="77777777" w:rsidR="00F01F5D" w:rsidRPr="00392CB0" w:rsidRDefault="00F01F5D" w:rsidP="00F01F5D">
            <w:pPr>
              <w:rPr>
                <w:rFonts w:ascii="Arial" w:hAnsi="Arial" w:cs="Arial"/>
                <w:b/>
                <w:szCs w:val="21"/>
              </w:rPr>
            </w:pPr>
          </w:p>
          <w:p w14:paraId="4C92FED4" w14:textId="77777777" w:rsidR="00F01F5D" w:rsidRDefault="00F01F5D" w:rsidP="00F01F5D">
            <w:pPr>
              <w:rPr>
                <w:rFonts w:ascii="Arial" w:hAnsi="Arial" w:cs="Arial"/>
                <w:szCs w:val="21"/>
              </w:rPr>
            </w:pPr>
            <w:r w:rsidRPr="00392CB0">
              <w:rPr>
                <w:rFonts w:ascii="Arial" w:hAnsi="Arial" w:cs="Arial"/>
                <w:b/>
                <w:szCs w:val="21"/>
              </w:rPr>
              <w:t>Module 10:</w:t>
            </w:r>
            <w:r w:rsidRPr="00392CB0">
              <w:rPr>
                <w:rFonts w:ascii="Arial" w:hAnsi="Arial" w:cs="Arial"/>
                <w:szCs w:val="21"/>
              </w:rPr>
              <w:t xml:space="preserve"> </w:t>
            </w:r>
            <w:r w:rsidRPr="00392CB0">
              <w:rPr>
                <w:rFonts w:ascii="Arial" w:hAnsi="Arial" w:cs="Arial"/>
                <w:b/>
                <w:szCs w:val="21"/>
              </w:rPr>
              <w:t>The Asset Approach of Exchange Rates</w:t>
            </w:r>
            <w:r w:rsidRPr="00392CB0">
              <w:rPr>
                <w:rFonts w:ascii="Arial" w:hAnsi="Arial" w:cs="Arial"/>
                <w:szCs w:val="21"/>
              </w:rPr>
              <w:t xml:space="preserve"> </w:t>
            </w:r>
          </w:p>
          <w:p w14:paraId="1FA0772B" w14:textId="77777777" w:rsidR="00F01F5D" w:rsidRPr="00392CB0" w:rsidRDefault="00F01F5D" w:rsidP="00F01F5D">
            <w:pPr>
              <w:rPr>
                <w:rFonts w:ascii="Arial" w:hAnsi="Arial" w:cs="Arial"/>
                <w:i/>
                <w:szCs w:val="21"/>
              </w:rPr>
            </w:pPr>
            <w:r w:rsidRPr="00392CB0">
              <w:rPr>
                <w:rFonts w:ascii="Arial" w:hAnsi="Arial" w:cs="Arial"/>
                <w:i/>
                <w:szCs w:val="21"/>
              </w:rPr>
              <w:t xml:space="preserve">Chapter 15 in </w:t>
            </w:r>
            <w:r w:rsidRPr="00392CB0">
              <w:rPr>
                <w:rFonts w:ascii="Arial" w:hAnsi="Arial" w:cs="Arial"/>
                <w:bCs/>
                <w:i/>
                <w:szCs w:val="21"/>
              </w:rPr>
              <w:t>Robert C (2011).</w:t>
            </w:r>
          </w:p>
          <w:p w14:paraId="32A5D9C7" w14:textId="77777777" w:rsidR="00F01F5D" w:rsidRPr="00392CB0" w:rsidRDefault="00F01F5D" w:rsidP="00F01F5D">
            <w:pPr>
              <w:rPr>
                <w:rFonts w:ascii="Arial" w:hAnsi="Arial" w:cs="Arial"/>
                <w:szCs w:val="21"/>
              </w:rPr>
            </w:pPr>
          </w:p>
          <w:p w14:paraId="121CF7E5" w14:textId="77777777" w:rsidR="00F01F5D" w:rsidRPr="006506DA" w:rsidRDefault="00F01F5D" w:rsidP="00F01F5D">
            <w:pPr>
              <w:spacing w:line="400" w:lineRule="exact"/>
              <w:rPr>
                <w:color w:val="000000"/>
                <w:szCs w:val="21"/>
              </w:rPr>
            </w:pPr>
          </w:p>
          <w:p w14:paraId="3C74877D" w14:textId="77777777" w:rsidR="00F01F5D" w:rsidRPr="00392CB0" w:rsidRDefault="00F01F5D" w:rsidP="00F01F5D">
            <w:pPr>
              <w:rPr>
                <w:rFonts w:ascii="Arial" w:hAnsi="Arial" w:cs="Arial"/>
                <w:b/>
                <w:szCs w:val="21"/>
              </w:rPr>
            </w:pPr>
            <w:r w:rsidRPr="00392CB0">
              <w:rPr>
                <w:rFonts w:ascii="Arial" w:hAnsi="Arial" w:cs="Arial"/>
                <w:b/>
                <w:szCs w:val="21"/>
              </w:rPr>
              <w:t xml:space="preserve">Final Exam  </w:t>
            </w:r>
          </w:p>
          <w:p w14:paraId="5D7EA0EC" w14:textId="77777777" w:rsidR="00F01F5D" w:rsidRPr="00392CB0" w:rsidRDefault="00F01F5D" w:rsidP="00F01F5D">
            <w:pPr>
              <w:rPr>
                <w:rFonts w:ascii="Arial" w:hAnsi="Arial" w:cs="Arial"/>
                <w:szCs w:val="21"/>
              </w:rPr>
            </w:pPr>
          </w:p>
          <w:p w14:paraId="5DF067C2" w14:textId="77777777" w:rsidR="00F01F5D" w:rsidRPr="00392CB0" w:rsidRDefault="00F01F5D" w:rsidP="00F01F5D">
            <w:pPr>
              <w:rPr>
                <w:rFonts w:ascii="Arial" w:hAnsi="Arial" w:cs="Arial"/>
                <w:b/>
                <w:i/>
                <w:szCs w:val="21"/>
              </w:rPr>
            </w:pPr>
            <w:r w:rsidRPr="00392CB0">
              <w:rPr>
                <w:rFonts w:ascii="Arial" w:hAnsi="Arial" w:cs="Arial"/>
                <w:b/>
                <w:i/>
                <w:szCs w:val="21"/>
              </w:rPr>
              <w:t>Note:</w:t>
            </w:r>
          </w:p>
          <w:p w14:paraId="6AC95823" w14:textId="77777777" w:rsidR="00F01F5D" w:rsidRPr="00392CB0" w:rsidRDefault="00F01F5D" w:rsidP="00F01F5D">
            <w:pPr>
              <w:rPr>
                <w:rFonts w:ascii="Arial" w:hAnsi="Arial" w:cs="Arial"/>
                <w:b/>
                <w:i/>
                <w:szCs w:val="21"/>
              </w:rPr>
            </w:pPr>
            <w:r w:rsidRPr="00392CB0">
              <w:rPr>
                <w:rFonts w:ascii="Arial" w:hAnsi="Arial" w:cs="Arial"/>
                <w:b/>
                <w:i/>
                <w:szCs w:val="21"/>
              </w:rPr>
              <w:t>(</w:t>
            </w:r>
            <w:proofErr w:type="spellStart"/>
            <w:r w:rsidRPr="00392CB0">
              <w:rPr>
                <w:rFonts w:ascii="Arial" w:hAnsi="Arial" w:cs="Arial"/>
                <w:b/>
                <w:i/>
                <w:szCs w:val="21"/>
              </w:rPr>
              <w:t>i</w:t>
            </w:r>
            <w:proofErr w:type="spellEnd"/>
            <w:r w:rsidRPr="00392CB0">
              <w:rPr>
                <w:rFonts w:ascii="Arial" w:hAnsi="Arial" w:cs="Arial"/>
                <w:b/>
                <w:i/>
                <w:szCs w:val="21"/>
              </w:rPr>
              <w:t xml:space="preserve">) We may not cover all materials </w:t>
            </w:r>
            <w:r>
              <w:rPr>
                <w:rFonts w:ascii="Arial" w:hAnsi="Arial" w:cs="Arial"/>
                <w:b/>
                <w:i/>
                <w:szCs w:val="21"/>
              </w:rPr>
              <w:t>in</w:t>
            </w:r>
            <w:r w:rsidRPr="00392CB0">
              <w:rPr>
                <w:rFonts w:ascii="Arial" w:hAnsi="Arial" w:cs="Arial"/>
                <w:b/>
                <w:i/>
                <w:szCs w:val="21"/>
              </w:rPr>
              <w:t xml:space="preserve"> each chapter. </w:t>
            </w:r>
            <w:r>
              <w:rPr>
                <w:rFonts w:ascii="Arial" w:hAnsi="Arial" w:cs="Arial"/>
                <w:b/>
                <w:i/>
                <w:szCs w:val="21"/>
              </w:rPr>
              <w:t>Students</w:t>
            </w:r>
            <w:r w:rsidRPr="00392CB0">
              <w:rPr>
                <w:rFonts w:ascii="Arial" w:hAnsi="Arial" w:cs="Arial"/>
                <w:b/>
                <w:i/>
                <w:szCs w:val="21"/>
              </w:rPr>
              <w:t xml:space="preserve"> are only responsible for the parts </w:t>
            </w:r>
            <w:r>
              <w:rPr>
                <w:rFonts w:ascii="Arial" w:hAnsi="Arial" w:cs="Arial"/>
                <w:b/>
                <w:i/>
                <w:szCs w:val="21"/>
              </w:rPr>
              <w:t xml:space="preserve">covered in </w:t>
            </w:r>
            <w:r w:rsidRPr="00392CB0">
              <w:rPr>
                <w:rFonts w:ascii="Arial" w:hAnsi="Arial" w:cs="Arial"/>
                <w:b/>
                <w:i/>
                <w:szCs w:val="21"/>
              </w:rPr>
              <w:t xml:space="preserve">lectures. However, it is </w:t>
            </w:r>
            <w:r>
              <w:rPr>
                <w:rFonts w:ascii="Arial" w:hAnsi="Arial" w:cs="Arial"/>
                <w:b/>
                <w:i/>
                <w:szCs w:val="21"/>
              </w:rPr>
              <w:t xml:space="preserve">always </w:t>
            </w:r>
            <w:r w:rsidRPr="00392CB0">
              <w:rPr>
                <w:rFonts w:ascii="Arial" w:hAnsi="Arial" w:cs="Arial"/>
                <w:b/>
                <w:i/>
                <w:szCs w:val="21"/>
              </w:rPr>
              <w:t xml:space="preserve">helpful </w:t>
            </w:r>
            <w:r>
              <w:rPr>
                <w:rFonts w:ascii="Arial" w:hAnsi="Arial" w:cs="Arial"/>
                <w:b/>
                <w:i/>
                <w:szCs w:val="21"/>
              </w:rPr>
              <w:t xml:space="preserve">to </w:t>
            </w:r>
            <w:r w:rsidRPr="00392CB0">
              <w:rPr>
                <w:rFonts w:ascii="Arial" w:hAnsi="Arial" w:cs="Arial"/>
                <w:b/>
                <w:i/>
                <w:szCs w:val="21"/>
              </w:rPr>
              <w:t>read the leftovers of each chapter</w:t>
            </w:r>
            <w:r>
              <w:rPr>
                <w:rFonts w:ascii="Arial" w:hAnsi="Arial" w:cs="Arial"/>
                <w:b/>
                <w:i/>
                <w:szCs w:val="21"/>
              </w:rPr>
              <w:t xml:space="preserve">. </w:t>
            </w:r>
            <w:r w:rsidRPr="00392CB0">
              <w:rPr>
                <w:rFonts w:ascii="Arial" w:hAnsi="Arial" w:cs="Arial"/>
                <w:b/>
                <w:i/>
                <w:szCs w:val="21"/>
              </w:rPr>
              <w:t xml:space="preserve">The </w:t>
            </w:r>
            <w:r>
              <w:rPr>
                <w:rFonts w:ascii="Arial" w:hAnsi="Arial" w:cs="Arial"/>
                <w:b/>
                <w:i/>
                <w:szCs w:val="21"/>
              </w:rPr>
              <w:t xml:space="preserve">course </w:t>
            </w:r>
            <w:r w:rsidRPr="00392CB0">
              <w:rPr>
                <w:rFonts w:ascii="Arial" w:hAnsi="Arial" w:cs="Arial"/>
                <w:b/>
                <w:i/>
                <w:szCs w:val="21"/>
              </w:rPr>
              <w:t>schedule is</w:t>
            </w:r>
            <w:r>
              <w:rPr>
                <w:rFonts w:ascii="Arial" w:hAnsi="Arial" w:cs="Arial"/>
                <w:b/>
                <w:i/>
                <w:szCs w:val="21"/>
              </w:rPr>
              <w:t xml:space="preserve"> subject to change</w:t>
            </w:r>
            <w:r w:rsidRPr="00392CB0">
              <w:rPr>
                <w:rFonts w:ascii="Arial" w:hAnsi="Arial" w:cs="Arial"/>
                <w:b/>
                <w:i/>
                <w:szCs w:val="21"/>
              </w:rPr>
              <w:t>.</w:t>
            </w:r>
          </w:p>
          <w:p w14:paraId="49472EAD" w14:textId="77777777" w:rsidR="00F01F5D" w:rsidRPr="00392CB0" w:rsidRDefault="00F01F5D" w:rsidP="00F01F5D">
            <w:pPr>
              <w:rPr>
                <w:rFonts w:ascii="Arial" w:hAnsi="Arial" w:cs="Arial"/>
                <w:b/>
                <w:i/>
                <w:szCs w:val="21"/>
              </w:rPr>
            </w:pPr>
            <w:r w:rsidRPr="00392CB0">
              <w:rPr>
                <w:rFonts w:ascii="Arial" w:hAnsi="Arial" w:cs="Arial"/>
                <w:b/>
                <w:i/>
                <w:szCs w:val="21"/>
              </w:rPr>
              <w:t>(ii) There are NO make-up exams given (either early or late) for ANY reason.</w:t>
            </w:r>
          </w:p>
          <w:p w14:paraId="7C5EC98E" w14:textId="77777777" w:rsidR="00F01F5D" w:rsidRPr="006506DA" w:rsidRDefault="00F01F5D" w:rsidP="00F01F5D">
            <w:pPr>
              <w:spacing w:line="400" w:lineRule="exact"/>
              <w:rPr>
                <w:color w:val="000000"/>
                <w:szCs w:val="21"/>
              </w:rPr>
            </w:pPr>
          </w:p>
          <w:p w14:paraId="5B6743B8" w14:textId="77777777" w:rsidR="00F01F5D" w:rsidRPr="006506DA" w:rsidRDefault="00F01F5D" w:rsidP="00F01F5D">
            <w:pPr>
              <w:spacing w:line="400" w:lineRule="exact"/>
              <w:rPr>
                <w:color w:val="000000"/>
                <w:szCs w:val="21"/>
              </w:rPr>
            </w:pPr>
          </w:p>
        </w:tc>
      </w:tr>
      <w:tr w:rsidR="00F01F5D" w:rsidRPr="006506DA" w14:paraId="632876CA" w14:textId="77777777" w:rsidTr="00F2069D">
        <w:trPr>
          <w:trHeight w:val="1139"/>
        </w:trPr>
        <w:tc>
          <w:tcPr>
            <w:tcW w:w="9356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4E6C02" w14:textId="77777777" w:rsidR="00F01F5D" w:rsidRDefault="00F01F5D" w:rsidP="00F01F5D">
            <w:pPr>
              <w:rPr>
                <w:b/>
                <w:color w:val="000000"/>
                <w:szCs w:val="21"/>
              </w:rPr>
            </w:pPr>
            <w:r w:rsidRPr="006506DA">
              <w:rPr>
                <w:b/>
                <w:color w:val="000000"/>
                <w:szCs w:val="21"/>
              </w:rPr>
              <w:lastRenderedPageBreak/>
              <w:t xml:space="preserve">The design of class discussion or exercise, practice, experience and so on: </w:t>
            </w:r>
          </w:p>
          <w:p w14:paraId="38D43009" w14:textId="77777777" w:rsidR="006D2473" w:rsidRDefault="006D2473" w:rsidP="00F01F5D">
            <w:pPr>
              <w:rPr>
                <w:b/>
                <w:color w:val="000000"/>
                <w:szCs w:val="21"/>
              </w:rPr>
            </w:pPr>
          </w:p>
          <w:p w14:paraId="7B14AC71" w14:textId="5B0EB1C7" w:rsidR="006D2473" w:rsidRPr="006506DA" w:rsidRDefault="006D2473" w:rsidP="00F01F5D">
            <w:pPr>
              <w:rPr>
                <w:rFonts w:eastAsia="STKaiti"/>
                <w:color w:val="000000"/>
              </w:rPr>
            </w:pPr>
            <w:r>
              <w:rPr>
                <w:b/>
                <w:color w:val="000000"/>
                <w:szCs w:val="21"/>
              </w:rPr>
              <w:t xml:space="preserve">Students are encouraged to participate in class by answering questions and/or solving exercise problems on board.   </w:t>
            </w:r>
          </w:p>
        </w:tc>
      </w:tr>
      <w:tr w:rsidR="00F01F5D" w:rsidRPr="006506DA" w14:paraId="289D52F2" w14:textId="77777777" w:rsidTr="00F2069D">
        <w:trPr>
          <w:trHeight w:val="1127"/>
        </w:trPr>
        <w:tc>
          <w:tcPr>
            <w:tcW w:w="9356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251574" w14:textId="77777777" w:rsidR="00F01F5D" w:rsidRDefault="00F01F5D" w:rsidP="00F01F5D">
            <w:pPr>
              <w:spacing w:beforeLines="50" w:before="156"/>
              <w:rPr>
                <w:b/>
                <w:color w:val="000000"/>
                <w:szCs w:val="21"/>
              </w:rPr>
            </w:pPr>
            <w:r w:rsidRPr="006506DA">
              <w:rPr>
                <w:b/>
                <w:color w:val="000000"/>
                <w:szCs w:val="21"/>
              </w:rPr>
              <w:t>If you need a TA, please indicate the assignment of assistant:</w:t>
            </w:r>
          </w:p>
          <w:p w14:paraId="22621A72" w14:textId="7222D775" w:rsidR="006D2473" w:rsidRPr="006506DA" w:rsidRDefault="006D2473" w:rsidP="00F01F5D">
            <w:pPr>
              <w:spacing w:beforeLines="50" w:before="156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 xml:space="preserve">TA is expected to be skilled in English communication. TA is responsible for recording class participation, </w:t>
            </w:r>
            <w:r w:rsidR="00722DF4">
              <w:rPr>
                <w:b/>
                <w:color w:val="000000"/>
                <w:szCs w:val="21"/>
              </w:rPr>
              <w:t>and assisting the instructor in grading exams as well as record</w:t>
            </w:r>
            <w:r w:rsidR="00A74773">
              <w:rPr>
                <w:b/>
                <w:color w:val="000000"/>
                <w:szCs w:val="21"/>
              </w:rPr>
              <w:t>ing</w:t>
            </w:r>
            <w:r w:rsidR="00722DF4">
              <w:rPr>
                <w:b/>
                <w:color w:val="000000"/>
                <w:szCs w:val="21"/>
              </w:rPr>
              <w:t xml:space="preserve"> and summariz</w:t>
            </w:r>
            <w:r w:rsidR="00A74773">
              <w:rPr>
                <w:b/>
                <w:color w:val="000000"/>
                <w:szCs w:val="21"/>
              </w:rPr>
              <w:t>ing</w:t>
            </w:r>
            <w:r w:rsidR="00722DF4">
              <w:rPr>
                <w:b/>
                <w:color w:val="000000"/>
                <w:szCs w:val="21"/>
              </w:rPr>
              <w:t xml:space="preserve"> grades. </w:t>
            </w:r>
          </w:p>
        </w:tc>
      </w:tr>
      <w:tr w:rsidR="00F01F5D" w:rsidRPr="006506DA" w14:paraId="53DE1324" w14:textId="77777777" w:rsidTr="00F2069D">
        <w:trPr>
          <w:trHeight w:val="977"/>
        </w:trPr>
        <w:tc>
          <w:tcPr>
            <w:tcW w:w="9356" w:type="dxa"/>
            <w:gridSpan w:val="13"/>
            <w:tcBorders>
              <w:bottom w:val="single" w:sz="12" w:space="0" w:color="auto"/>
            </w:tcBorders>
            <w:shd w:val="clear" w:color="auto" w:fill="auto"/>
          </w:tcPr>
          <w:p w14:paraId="3683C4FD" w14:textId="32629878" w:rsidR="00F01F5D" w:rsidRPr="006506DA" w:rsidRDefault="00F01F5D" w:rsidP="00F01F5D">
            <w:pPr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Grading &amp; Evaluation</w:t>
            </w:r>
            <w:r w:rsidR="00722DF4">
              <w:rPr>
                <w:b/>
                <w:color w:val="000000"/>
              </w:rPr>
              <w:t>:</w:t>
            </w:r>
          </w:p>
          <w:p w14:paraId="4859FD7A" w14:textId="77777777" w:rsidR="00722DF4" w:rsidRDefault="00722DF4" w:rsidP="00EE0614">
            <w:pPr>
              <w:rPr>
                <w:rFonts w:ascii="Arial" w:hAnsi="Arial" w:cs="Arial"/>
                <w:b/>
                <w:szCs w:val="21"/>
              </w:rPr>
            </w:pPr>
          </w:p>
          <w:p w14:paraId="7165EF57" w14:textId="0B7FFEAE" w:rsidR="00EE0614" w:rsidRPr="00132910" w:rsidRDefault="00EE0614" w:rsidP="00EE0614">
            <w:pPr>
              <w:rPr>
                <w:rFonts w:ascii="Arial" w:hAnsi="Arial" w:cs="Arial"/>
                <w:bCs/>
                <w:szCs w:val="21"/>
              </w:rPr>
            </w:pPr>
            <w:r>
              <w:rPr>
                <w:rFonts w:ascii="Arial" w:hAnsi="Arial" w:cs="Arial"/>
                <w:bCs/>
                <w:szCs w:val="21"/>
              </w:rPr>
              <w:t>Class Participation: 10%</w:t>
            </w:r>
          </w:p>
          <w:p w14:paraId="6E9BDB75" w14:textId="77777777" w:rsidR="00EE0614" w:rsidRPr="00392CB0" w:rsidRDefault="00EE0614" w:rsidP="00EE0614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Group </w:t>
            </w:r>
            <w:r>
              <w:rPr>
                <w:rFonts w:ascii="Arial" w:hAnsi="Arial" w:cs="Arial" w:hint="eastAsia"/>
                <w:szCs w:val="21"/>
              </w:rPr>
              <w:t>pre</w:t>
            </w:r>
            <w:r>
              <w:rPr>
                <w:rFonts w:ascii="Arial" w:hAnsi="Arial" w:cs="Arial"/>
                <w:szCs w:val="21"/>
              </w:rPr>
              <w:t>sentation</w:t>
            </w:r>
            <w:r w:rsidRPr="00392CB0">
              <w:rPr>
                <w:rFonts w:ascii="Arial" w:hAnsi="Arial" w:cs="Arial"/>
                <w:szCs w:val="21"/>
              </w:rPr>
              <w:t xml:space="preserve">: </w:t>
            </w:r>
            <w:r>
              <w:rPr>
                <w:rFonts w:ascii="Arial" w:hAnsi="Arial" w:cs="Arial"/>
                <w:szCs w:val="21"/>
              </w:rPr>
              <w:t>25</w:t>
            </w:r>
            <w:r w:rsidRPr="00392CB0">
              <w:rPr>
                <w:rFonts w:ascii="Arial" w:hAnsi="Arial" w:cs="Arial"/>
                <w:szCs w:val="21"/>
              </w:rPr>
              <w:t>%</w:t>
            </w:r>
          </w:p>
          <w:p w14:paraId="6C3F0546" w14:textId="77777777" w:rsidR="00EE0614" w:rsidRPr="00392CB0" w:rsidRDefault="00EE0614" w:rsidP="00EE0614">
            <w:pPr>
              <w:rPr>
                <w:rFonts w:ascii="Arial" w:hAnsi="Arial" w:cs="Arial"/>
                <w:szCs w:val="21"/>
              </w:rPr>
            </w:pPr>
            <w:r w:rsidRPr="00392CB0">
              <w:rPr>
                <w:rFonts w:ascii="Arial" w:hAnsi="Arial" w:cs="Arial"/>
                <w:szCs w:val="21"/>
              </w:rPr>
              <w:t xml:space="preserve">Midterm: </w:t>
            </w:r>
            <w:r>
              <w:rPr>
                <w:rFonts w:ascii="Arial" w:hAnsi="Arial" w:cs="Arial"/>
                <w:szCs w:val="21"/>
              </w:rPr>
              <w:t>30</w:t>
            </w:r>
            <w:r w:rsidRPr="00392CB0">
              <w:rPr>
                <w:rFonts w:ascii="Arial" w:hAnsi="Arial" w:cs="Arial"/>
                <w:szCs w:val="21"/>
              </w:rPr>
              <w:t xml:space="preserve">% </w:t>
            </w:r>
          </w:p>
          <w:p w14:paraId="48BA2C51" w14:textId="77777777" w:rsidR="00EE0614" w:rsidRDefault="00EE0614" w:rsidP="00EE0614">
            <w:pPr>
              <w:rPr>
                <w:rFonts w:ascii="Arial" w:hAnsi="Arial" w:cs="Arial"/>
                <w:szCs w:val="21"/>
              </w:rPr>
            </w:pPr>
            <w:r w:rsidRPr="00392CB0">
              <w:rPr>
                <w:rFonts w:ascii="Arial" w:hAnsi="Arial" w:cs="Arial"/>
                <w:szCs w:val="21"/>
              </w:rPr>
              <w:t xml:space="preserve">Final: </w:t>
            </w:r>
            <w:r>
              <w:rPr>
                <w:rFonts w:ascii="Arial" w:hAnsi="Arial" w:cs="Arial"/>
                <w:szCs w:val="21"/>
              </w:rPr>
              <w:t>35</w:t>
            </w:r>
            <w:r w:rsidRPr="00392CB0">
              <w:rPr>
                <w:rFonts w:ascii="Arial" w:hAnsi="Arial" w:cs="Arial"/>
                <w:szCs w:val="21"/>
              </w:rPr>
              <w:t xml:space="preserve">% </w:t>
            </w:r>
          </w:p>
          <w:p w14:paraId="2942E9D5" w14:textId="77777777" w:rsidR="00EE0614" w:rsidRPr="00392CB0" w:rsidRDefault="00EE0614" w:rsidP="00EE0614">
            <w:pPr>
              <w:rPr>
                <w:rFonts w:ascii="Arial" w:hAnsi="Arial" w:cs="Arial"/>
                <w:szCs w:val="21"/>
              </w:rPr>
            </w:pPr>
          </w:p>
          <w:p w14:paraId="07115205" w14:textId="77777777" w:rsidR="00EE0614" w:rsidRPr="00392CB0" w:rsidRDefault="00EE0614" w:rsidP="00EE0614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Both exams are </w:t>
            </w:r>
            <w:r w:rsidRPr="00392CB0">
              <w:rPr>
                <w:rFonts w:ascii="Arial" w:hAnsi="Arial" w:cs="Arial"/>
                <w:szCs w:val="21"/>
              </w:rPr>
              <w:t>closed-book.</w:t>
            </w:r>
          </w:p>
          <w:p w14:paraId="7828E4CA" w14:textId="77777777" w:rsidR="00F01F5D" w:rsidRPr="006506DA" w:rsidRDefault="00F01F5D" w:rsidP="00F01F5D">
            <w:pPr>
              <w:ind w:firstLineChars="200" w:firstLine="428"/>
              <w:rPr>
                <w:b/>
                <w:color w:val="000000"/>
              </w:rPr>
            </w:pPr>
          </w:p>
        </w:tc>
      </w:tr>
      <w:tr w:rsidR="00F01F5D" w:rsidRPr="006506DA" w14:paraId="6EC663FB" w14:textId="77777777" w:rsidTr="00F2069D">
        <w:tblPrEx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9356" w:type="dxa"/>
            <w:gridSpan w:val="13"/>
            <w:tcBorders>
              <w:top w:val="single" w:sz="12" w:space="0" w:color="auto"/>
              <w:bottom w:val="single" w:sz="8" w:space="0" w:color="auto"/>
            </w:tcBorders>
          </w:tcPr>
          <w:p w14:paraId="09912C5D" w14:textId="77777777" w:rsidR="00F01F5D" w:rsidRPr="00DD0182" w:rsidRDefault="00F01F5D" w:rsidP="00F01F5D">
            <w:pPr>
              <w:spacing w:line="280" w:lineRule="exact"/>
              <w:rPr>
                <w:rFonts w:hint="eastAsia"/>
              </w:rPr>
            </w:pPr>
            <w:r w:rsidRPr="00DD0182">
              <w:rPr>
                <w:b/>
              </w:rPr>
              <w:t>Us</w:t>
            </w:r>
            <w:r w:rsidRPr="00DD0182">
              <w:rPr>
                <w:rFonts w:hint="eastAsia"/>
                <w:b/>
              </w:rPr>
              <w:t>age</w:t>
            </w:r>
            <w:r w:rsidRPr="00DD0182">
              <w:rPr>
                <w:b/>
              </w:rPr>
              <w:t xml:space="preserve"> of Textbook</w:t>
            </w:r>
            <w:r w:rsidRPr="00DD0182">
              <w:rPr>
                <w:b/>
              </w:rPr>
              <w:t>：</w:t>
            </w:r>
            <w:r w:rsidRPr="005C6268">
              <w:rPr>
                <w:rFonts w:hint="eastAsia"/>
              </w:rPr>
              <w:t>□</w:t>
            </w:r>
            <w:r>
              <w:t xml:space="preserve">Yes(complete textbook information form below)     </w:t>
            </w:r>
            <w:r w:rsidRPr="005C6268">
              <w:rPr>
                <w:rFonts w:hint="eastAsia"/>
              </w:rPr>
              <w:t>□</w:t>
            </w:r>
            <w:r>
              <w:rPr>
                <w:rFonts w:hint="eastAsia"/>
              </w:rPr>
              <w:t>N</w:t>
            </w:r>
            <w:r>
              <w:t>o</w:t>
            </w:r>
          </w:p>
          <w:p w14:paraId="215FAEEC" w14:textId="77777777" w:rsidR="00F01F5D" w:rsidRPr="00DD0182" w:rsidRDefault="00F01F5D" w:rsidP="00F01F5D">
            <w:pPr>
              <w:spacing w:line="280" w:lineRule="exact"/>
              <w:rPr>
                <w:rFonts w:hint="eastAsia"/>
                <w:b/>
              </w:rPr>
            </w:pPr>
            <w:r w:rsidRPr="00DD0182">
              <w:rPr>
                <w:b/>
              </w:rPr>
              <w:t>T</w:t>
            </w:r>
            <w:r w:rsidRPr="00DD0182">
              <w:rPr>
                <w:rFonts w:hint="eastAsia"/>
                <w:b/>
              </w:rPr>
              <w:t>ext</w:t>
            </w:r>
            <w:r w:rsidRPr="00DD0182">
              <w:rPr>
                <w:b/>
              </w:rPr>
              <w:t>book Information</w:t>
            </w:r>
            <w:r w:rsidRPr="00DD0182">
              <w:rPr>
                <w:rFonts w:hint="eastAsia"/>
                <w:b/>
              </w:rPr>
              <w:t xml:space="preserve"> </w:t>
            </w:r>
            <w:r w:rsidRPr="00DD0182">
              <w:rPr>
                <w:rFonts w:hint="eastAsia"/>
              </w:rPr>
              <w:t>(</w:t>
            </w:r>
            <w:r w:rsidRPr="00DD0182">
              <w:t>No more than two textbooks</w:t>
            </w:r>
            <w:proofErr w:type="gramStart"/>
            <w:r w:rsidRPr="00DD0182">
              <w:t xml:space="preserve">) </w:t>
            </w:r>
            <w:r w:rsidRPr="00DD0182">
              <w:rPr>
                <w:b/>
              </w:rPr>
              <w:t>:</w:t>
            </w:r>
            <w:proofErr w:type="gramEnd"/>
          </w:p>
        </w:tc>
      </w:tr>
      <w:tr w:rsidR="00F01F5D" w:rsidRPr="006506DA" w14:paraId="321B5010" w14:textId="77777777" w:rsidTr="00F41491">
        <w:tblPrEx>
          <w:tblLook w:val="0000" w:firstRow="0" w:lastRow="0" w:firstColumn="0" w:lastColumn="0" w:noHBand="0" w:noVBand="0"/>
        </w:tblPrEx>
        <w:trPr>
          <w:trHeight w:val="222"/>
        </w:trPr>
        <w:tc>
          <w:tcPr>
            <w:tcW w:w="144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F682A1" w14:textId="77777777" w:rsidR="00F01F5D" w:rsidRPr="00B97AE2" w:rsidRDefault="00F01F5D" w:rsidP="00F01F5D">
            <w:pPr>
              <w:jc w:val="center"/>
              <w:rPr>
                <w:b/>
                <w:sz w:val="20"/>
                <w:szCs w:val="22"/>
              </w:rPr>
            </w:pPr>
            <w:r w:rsidRPr="00B97AE2">
              <w:rPr>
                <w:b/>
                <w:sz w:val="20"/>
                <w:szCs w:val="22"/>
              </w:rPr>
              <w:t>Title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FE2A70" w14:textId="77777777" w:rsidR="00F01F5D" w:rsidRPr="00B97AE2" w:rsidRDefault="00F01F5D" w:rsidP="00F01F5D">
            <w:pPr>
              <w:jc w:val="center"/>
              <w:rPr>
                <w:b/>
                <w:sz w:val="20"/>
                <w:szCs w:val="22"/>
              </w:rPr>
            </w:pPr>
            <w:r w:rsidRPr="00B97AE2">
              <w:rPr>
                <w:b/>
                <w:sz w:val="20"/>
                <w:szCs w:val="22"/>
              </w:rPr>
              <w:t>Author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AEDD43" w14:textId="77777777" w:rsidR="00F01F5D" w:rsidRPr="00B97AE2" w:rsidRDefault="00F01F5D" w:rsidP="00F01F5D">
            <w:pPr>
              <w:jc w:val="center"/>
              <w:rPr>
                <w:b/>
                <w:sz w:val="20"/>
                <w:szCs w:val="22"/>
              </w:rPr>
            </w:pPr>
            <w:r w:rsidRPr="00B97AE2">
              <w:rPr>
                <w:b/>
                <w:sz w:val="20"/>
                <w:szCs w:val="22"/>
              </w:rPr>
              <w:t>ISBN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B0D43" w14:textId="77777777" w:rsidR="00F01F5D" w:rsidRPr="00B97AE2" w:rsidRDefault="00F01F5D" w:rsidP="00F01F5D">
            <w:pPr>
              <w:jc w:val="center"/>
              <w:rPr>
                <w:b/>
                <w:sz w:val="20"/>
                <w:szCs w:val="22"/>
              </w:rPr>
            </w:pPr>
            <w:r w:rsidRPr="00B97AE2">
              <w:rPr>
                <w:b/>
                <w:szCs w:val="21"/>
                <w:shd w:val="clear" w:color="auto" w:fill="FFFFFF"/>
              </w:rPr>
              <w:t xml:space="preserve">Publishing </w:t>
            </w:r>
            <w:r>
              <w:rPr>
                <w:b/>
                <w:szCs w:val="21"/>
                <w:shd w:val="clear" w:color="auto" w:fill="FFFFFF"/>
              </w:rPr>
              <w:t>T</w:t>
            </w:r>
            <w:r w:rsidRPr="00B97AE2">
              <w:rPr>
                <w:b/>
                <w:szCs w:val="21"/>
                <w:shd w:val="clear" w:color="auto" w:fill="FFFFFF"/>
              </w:rPr>
              <w:t>ime</w:t>
            </w:r>
          </w:p>
        </w:tc>
        <w:tc>
          <w:tcPr>
            <w:tcW w:w="1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E8867A" w14:textId="77777777" w:rsidR="00F01F5D" w:rsidRPr="00B97AE2" w:rsidRDefault="00F01F5D" w:rsidP="00F01F5D">
            <w:pPr>
              <w:jc w:val="center"/>
              <w:rPr>
                <w:b/>
                <w:sz w:val="20"/>
                <w:szCs w:val="22"/>
              </w:rPr>
            </w:pPr>
            <w:r w:rsidRPr="00B97AE2">
              <w:rPr>
                <w:b/>
                <w:szCs w:val="21"/>
                <w:shd w:val="clear" w:color="auto" w:fill="FFFFFF"/>
              </w:rPr>
              <w:t>Publisher</w:t>
            </w:r>
          </w:p>
        </w:tc>
        <w:tc>
          <w:tcPr>
            <w:tcW w:w="1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7BC691" w14:textId="77777777" w:rsidR="00F01F5D" w:rsidRPr="00B97AE2" w:rsidRDefault="00F01F5D" w:rsidP="00F01F5D">
            <w:pPr>
              <w:jc w:val="center"/>
              <w:rPr>
                <w:b/>
                <w:sz w:val="20"/>
                <w:szCs w:val="20"/>
              </w:rPr>
            </w:pPr>
            <w:r w:rsidRPr="00B97AE2">
              <w:rPr>
                <w:b/>
                <w:sz w:val="20"/>
                <w:szCs w:val="20"/>
              </w:rPr>
              <w:t xml:space="preserve">Type </w:t>
            </w:r>
            <w:r w:rsidRPr="00B97AE2">
              <w:rPr>
                <w:rFonts w:eastAsia="FangSong_GB2312"/>
                <w:b/>
                <w:kern w:val="0"/>
                <w:sz w:val="20"/>
                <w:szCs w:val="20"/>
              </w:rPr>
              <w:t>Ⅰ</w:t>
            </w:r>
          </w:p>
        </w:tc>
        <w:tc>
          <w:tcPr>
            <w:tcW w:w="20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97D9720" w14:textId="77777777" w:rsidR="00F01F5D" w:rsidRPr="00B97AE2" w:rsidRDefault="00F01F5D" w:rsidP="00F01F5D">
            <w:pPr>
              <w:jc w:val="center"/>
              <w:rPr>
                <w:b/>
                <w:sz w:val="20"/>
                <w:szCs w:val="20"/>
              </w:rPr>
            </w:pPr>
            <w:r w:rsidRPr="00B97AE2">
              <w:rPr>
                <w:b/>
                <w:sz w:val="20"/>
                <w:szCs w:val="20"/>
              </w:rPr>
              <w:t xml:space="preserve">Type </w:t>
            </w:r>
            <w:r w:rsidRPr="00B97AE2">
              <w:rPr>
                <w:rFonts w:eastAsia="FangSong_GB2312"/>
                <w:b/>
                <w:kern w:val="0"/>
                <w:sz w:val="20"/>
                <w:szCs w:val="20"/>
              </w:rPr>
              <w:t>Ⅱ</w:t>
            </w:r>
          </w:p>
        </w:tc>
      </w:tr>
      <w:tr w:rsidR="00F01F5D" w:rsidRPr="006506DA" w14:paraId="2346ECE1" w14:textId="77777777" w:rsidTr="00F41491">
        <w:tblPrEx>
          <w:tblLook w:val="0000" w:firstRow="0" w:lastRow="0" w:firstColumn="0" w:lastColumn="0" w:noHBand="0" w:noVBand="0"/>
        </w:tblPrEx>
        <w:trPr>
          <w:trHeight w:val="1213"/>
        </w:trPr>
        <w:tc>
          <w:tcPr>
            <w:tcW w:w="144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5CDB3A72" w14:textId="47DB8FBC" w:rsidR="00F01F5D" w:rsidRPr="006506DA" w:rsidRDefault="00F41491" w:rsidP="00F01F5D">
            <w:pPr>
              <w:rPr>
                <w:b/>
                <w:sz w:val="20"/>
                <w:szCs w:val="20"/>
              </w:rPr>
            </w:pPr>
            <w:r w:rsidRPr="00392CB0">
              <w:rPr>
                <w:rFonts w:ascii="Arial" w:hAnsi="Arial" w:cs="Arial"/>
                <w:bCs/>
                <w:i/>
                <w:szCs w:val="21"/>
              </w:rPr>
              <w:t>International Economics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5E0FF0" w14:textId="24438225" w:rsidR="00F01F5D" w:rsidRPr="006506DA" w:rsidRDefault="0007678A" w:rsidP="00F01F5D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Cs w:val="21"/>
              </w:rPr>
              <w:t>Feenstra</w:t>
            </w:r>
            <w:proofErr w:type="spellEnd"/>
            <w:r>
              <w:rPr>
                <w:rFonts w:ascii="Arial" w:hAnsi="Arial" w:cs="Arial"/>
                <w:bCs/>
                <w:szCs w:val="21"/>
              </w:rPr>
              <w:t>, Taylor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9652EF" w14:textId="77777777" w:rsidR="00F01F5D" w:rsidRPr="006506DA" w:rsidRDefault="00F01F5D" w:rsidP="00F01F5D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F8987A" w14:textId="39E6DA7A" w:rsidR="00F01F5D" w:rsidRPr="006506DA" w:rsidRDefault="0007678A" w:rsidP="00F01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1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FE71B0" w14:textId="13299799" w:rsidR="00F01F5D" w:rsidRPr="006506DA" w:rsidRDefault="00F41491" w:rsidP="00F01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Worth Publishers</w:t>
            </w:r>
          </w:p>
        </w:tc>
        <w:tc>
          <w:tcPr>
            <w:tcW w:w="1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5C3FF5" w14:textId="77777777" w:rsidR="00F01F5D" w:rsidRPr="006506DA" w:rsidRDefault="00F01F5D" w:rsidP="00F01F5D">
            <w:pPr>
              <w:spacing w:line="260" w:lineRule="exact"/>
              <w:jc w:val="left"/>
              <w:rPr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</w:t>
            </w:r>
            <w:r w:rsidRPr="005C6268">
              <w:rPr>
                <w:sz w:val="15"/>
                <w:szCs w:val="15"/>
              </w:rPr>
              <w:t>Self-compiled Textbook</w:t>
            </w:r>
            <w:r>
              <w:rPr>
                <w:sz w:val="15"/>
                <w:szCs w:val="15"/>
              </w:rPr>
              <w:t xml:space="preserve"> (Published)</w:t>
            </w:r>
          </w:p>
          <w:p w14:paraId="420E7DBC" w14:textId="77777777" w:rsidR="00F01F5D" w:rsidRPr="006506DA" w:rsidRDefault="00F01F5D" w:rsidP="00F01F5D">
            <w:pPr>
              <w:spacing w:line="260" w:lineRule="exact"/>
              <w:jc w:val="left"/>
              <w:rPr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</w:t>
            </w:r>
            <w:r w:rsidRPr="00B15118">
              <w:rPr>
                <w:sz w:val="15"/>
                <w:szCs w:val="15"/>
              </w:rPr>
              <w:t>Non-mainland</w:t>
            </w:r>
            <w:r w:rsidRPr="006506DA">
              <w:rPr>
                <w:sz w:val="15"/>
                <w:szCs w:val="15"/>
              </w:rPr>
              <w:t xml:space="preserve"> Textbook</w:t>
            </w:r>
          </w:p>
          <w:p w14:paraId="40FA6612" w14:textId="77777777" w:rsidR="00F01F5D" w:rsidRPr="006506DA" w:rsidRDefault="00F01F5D" w:rsidP="00F01F5D">
            <w:pPr>
              <w:spacing w:line="260" w:lineRule="exact"/>
              <w:jc w:val="left"/>
              <w:rPr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□Other Textbook</w:t>
            </w:r>
            <w:r>
              <w:rPr>
                <w:sz w:val="15"/>
                <w:szCs w:val="15"/>
              </w:rPr>
              <w:t xml:space="preserve"> (Published)</w:t>
            </w:r>
          </w:p>
        </w:tc>
        <w:tc>
          <w:tcPr>
            <w:tcW w:w="20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12A9309" w14:textId="77777777" w:rsidR="00F01F5D" w:rsidRPr="006506DA" w:rsidRDefault="00F01F5D" w:rsidP="00F01F5D">
            <w:pPr>
              <w:spacing w:line="260" w:lineRule="exact"/>
              <w:jc w:val="left"/>
              <w:rPr>
                <w:sz w:val="15"/>
                <w:szCs w:val="15"/>
                <w:shd w:val="clear" w:color="auto" w:fill="FFFFFF"/>
              </w:rPr>
            </w:pPr>
            <w:r w:rsidRPr="006506DA">
              <w:rPr>
                <w:sz w:val="15"/>
                <w:szCs w:val="15"/>
                <w:shd w:val="clear" w:color="auto" w:fill="FFFFFF"/>
              </w:rPr>
              <w:t>□National Planning Textbook</w:t>
            </w:r>
          </w:p>
          <w:p w14:paraId="39579996" w14:textId="77777777" w:rsidR="00F01F5D" w:rsidRPr="006506DA" w:rsidRDefault="00F01F5D" w:rsidP="00F01F5D">
            <w:pPr>
              <w:spacing w:line="260" w:lineRule="exact"/>
              <w:jc w:val="left"/>
              <w:rPr>
                <w:sz w:val="15"/>
                <w:szCs w:val="15"/>
                <w:shd w:val="clear" w:color="auto" w:fill="FFFFFF"/>
              </w:rPr>
            </w:pPr>
            <w:r w:rsidRPr="006506DA">
              <w:rPr>
                <w:sz w:val="15"/>
                <w:szCs w:val="15"/>
                <w:shd w:val="clear" w:color="auto" w:fill="FFFFFF"/>
              </w:rPr>
              <w:t>□Provincial and Ministerial Planning Textbook</w:t>
            </w:r>
          </w:p>
          <w:p w14:paraId="70ABD6BF" w14:textId="77777777" w:rsidR="00F01F5D" w:rsidRPr="006506DA" w:rsidRDefault="00F01F5D" w:rsidP="00F01F5D">
            <w:pPr>
              <w:spacing w:line="260" w:lineRule="exact"/>
              <w:ind w:left="150" w:hangingChars="100" w:hanging="150"/>
              <w:jc w:val="left"/>
              <w:rPr>
                <w:sz w:val="15"/>
                <w:szCs w:val="15"/>
                <w:shd w:val="clear" w:color="auto" w:fill="FFFFFF"/>
              </w:rPr>
            </w:pPr>
            <w:r w:rsidRPr="006506DA">
              <w:rPr>
                <w:sz w:val="15"/>
                <w:szCs w:val="15"/>
                <w:shd w:val="clear" w:color="auto" w:fill="FFFFFF"/>
              </w:rPr>
              <w:t>□School Le</w:t>
            </w:r>
            <w:r>
              <w:rPr>
                <w:sz w:val="15"/>
                <w:szCs w:val="15"/>
                <w:shd w:val="clear" w:color="auto" w:fill="FFFFFF"/>
              </w:rPr>
              <w:t xml:space="preserve">vel Planning </w:t>
            </w:r>
            <w:r w:rsidRPr="006506DA">
              <w:rPr>
                <w:sz w:val="15"/>
                <w:szCs w:val="15"/>
                <w:shd w:val="clear" w:color="auto" w:fill="FFFFFF"/>
              </w:rPr>
              <w:t>Textbook</w:t>
            </w:r>
          </w:p>
          <w:p w14:paraId="0B5A53A1" w14:textId="77777777" w:rsidR="00F01F5D" w:rsidRPr="006506DA" w:rsidRDefault="00F01F5D" w:rsidP="00F01F5D">
            <w:pPr>
              <w:spacing w:line="260" w:lineRule="exact"/>
              <w:jc w:val="left"/>
              <w:rPr>
                <w:b/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□Others</w:t>
            </w:r>
          </w:p>
        </w:tc>
      </w:tr>
      <w:tr w:rsidR="00F01F5D" w:rsidRPr="006506DA" w14:paraId="31067708" w14:textId="77777777" w:rsidTr="00F41491">
        <w:tblPrEx>
          <w:tblLook w:val="0000" w:firstRow="0" w:lastRow="0" w:firstColumn="0" w:lastColumn="0" w:noHBand="0" w:noVBand="0"/>
        </w:tblPrEx>
        <w:trPr>
          <w:trHeight w:val="1340"/>
        </w:trPr>
        <w:tc>
          <w:tcPr>
            <w:tcW w:w="144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72FA3FB6" w14:textId="7DAE493E" w:rsidR="00F01F5D" w:rsidRPr="006506DA" w:rsidRDefault="00F41491" w:rsidP="00F01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International Economics: Theory and Policy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6B305E" w14:textId="7FADB3D9" w:rsidR="00F01F5D" w:rsidRPr="006506DA" w:rsidRDefault="00F41491" w:rsidP="00F01F5D">
            <w:pPr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4B5D72">
              <w:rPr>
                <w:rFonts w:ascii="Arial" w:hAnsi="Arial" w:cs="Arial"/>
                <w:bCs/>
                <w:szCs w:val="21"/>
              </w:rPr>
              <w:t>Krugman,Obstfeld</w:t>
            </w:r>
            <w:proofErr w:type="spellEnd"/>
            <w:proofErr w:type="gramEnd"/>
            <w:r w:rsidR="0007678A">
              <w:rPr>
                <w:rFonts w:ascii="Arial" w:hAnsi="Arial" w:cs="Arial"/>
                <w:bCs/>
                <w:szCs w:val="21"/>
              </w:rPr>
              <w:t xml:space="preserve"> </w:t>
            </w:r>
            <w:r w:rsidRPr="004B5D72">
              <w:rPr>
                <w:rFonts w:ascii="Arial" w:hAnsi="Arial" w:cs="Arial"/>
                <w:bCs/>
                <w:szCs w:val="21"/>
              </w:rPr>
              <w:t>and</w:t>
            </w:r>
            <w:r w:rsidR="0007678A">
              <w:rPr>
                <w:rFonts w:ascii="Arial" w:hAnsi="Arial" w:cs="Arial"/>
                <w:bCs/>
                <w:szCs w:val="21"/>
              </w:rPr>
              <w:t xml:space="preserve"> </w:t>
            </w:r>
            <w:r w:rsidRPr="004B5D72">
              <w:rPr>
                <w:rFonts w:ascii="Arial" w:hAnsi="Arial" w:cs="Arial"/>
                <w:bCs/>
                <w:szCs w:val="21"/>
              </w:rPr>
              <w:t>Melitz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2B3460" w14:textId="77777777" w:rsidR="00F01F5D" w:rsidRPr="006506DA" w:rsidRDefault="00F01F5D" w:rsidP="00F01F5D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8549DA" w14:textId="5EAEA2F3" w:rsidR="00F01F5D" w:rsidRPr="006506DA" w:rsidRDefault="00F41491" w:rsidP="00F01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6EF727" w14:textId="715AF73D" w:rsidR="00F01F5D" w:rsidRPr="006506DA" w:rsidRDefault="00F41491" w:rsidP="00F01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Pearson Education </w:t>
            </w:r>
          </w:p>
        </w:tc>
        <w:tc>
          <w:tcPr>
            <w:tcW w:w="1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0C6D89" w14:textId="77777777" w:rsidR="00F01F5D" w:rsidRPr="006506DA" w:rsidRDefault="00F01F5D" w:rsidP="00F01F5D">
            <w:pPr>
              <w:spacing w:line="260" w:lineRule="exact"/>
              <w:jc w:val="left"/>
              <w:rPr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</w:t>
            </w:r>
            <w:r w:rsidRPr="005C6268">
              <w:rPr>
                <w:sz w:val="15"/>
                <w:szCs w:val="15"/>
              </w:rPr>
              <w:t>Self-compiled Textbook</w:t>
            </w:r>
            <w:r>
              <w:rPr>
                <w:sz w:val="15"/>
                <w:szCs w:val="15"/>
              </w:rPr>
              <w:t xml:space="preserve"> (Published)</w:t>
            </w:r>
          </w:p>
          <w:p w14:paraId="17D2D67F" w14:textId="77777777" w:rsidR="00F01F5D" w:rsidRPr="006506DA" w:rsidRDefault="00F01F5D" w:rsidP="00F01F5D">
            <w:pPr>
              <w:spacing w:line="260" w:lineRule="exact"/>
              <w:jc w:val="left"/>
              <w:rPr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</w:t>
            </w:r>
            <w:r w:rsidRPr="00B15118">
              <w:rPr>
                <w:sz w:val="15"/>
                <w:szCs w:val="15"/>
              </w:rPr>
              <w:t>Non-mainland</w:t>
            </w:r>
            <w:r w:rsidRPr="006506DA">
              <w:rPr>
                <w:sz w:val="15"/>
                <w:szCs w:val="15"/>
              </w:rPr>
              <w:t xml:space="preserve"> Textbook</w:t>
            </w:r>
          </w:p>
          <w:p w14:paraId="0E7B82AF" w14:textId="77777777" w:rsidR="00F01F5D" w:rsidRPr="006506DA" w:rsidRDefault="00F01F5D" w:rsidP="00F01F5D">
            <w:pPr>
              <w:spacing w:line="260" w:lineRule="exact"/>
              <w:jc w:val="left"/>
              <w:rPr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□Other Textbook</w:t>
            </w:r>
            <w:r>
              <w:rPr>
                <w:sz w:val="15"/>
                <w:szCs w:val="15"/>
              </w:rPr>
              <w:t xml:space="preserve"> (Published)</w:t>
            </w:r>
          </w:p>
        </w:tc>
        <w:tc>
          <w:tcPr>
            <w:tcW w:w="20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3511E0F" w14:textId="77777777" w:rsidR="00F01F5D" w:rsidRPr="006506DA" w:rsidRDefault="00F01F5D" w:rsidP="00F01F5D">
            <w:pPr>
              <w:spacing w:line="260" w:lineRule="exact"/>
              <w:jc w:val="left"/>
              <w:rPr>
                <w:sz w:val="15"/>
                <w:szCs w:val="15"/>
                <w:shd w:val="clear" w:color="auto" w:fill="FFFFFF"/>
              </w:rPr>
            </w:pPr>
            <w:r w:rsidRPr="006506DA">
              <w:rPr>
                <w:sz w:val="15"/>
                <w:szCs w:val="15"/>
                <w:shd w:val="clear" w:color="auto" w:fill="FFFFFF"/>
              </w:rPr>
              <w:t>□National Planning Textbook</w:t>
            </w:r>
          </w:p>
          <w:p w14:paraId="49FAFEEA" w14:textId="77777777" w:rsidR="00F01F5D" w:rsidRPr="006506DA" w:rsidRDefault="00F01F5D" w:rsidP="00F01F5D">
            <w:pPr>
              <w:spacing w:line="260" w:lineRule="exact"/>
              <w:jc w:val="left"/>
              <w:rPr>
                <w:sz w:val="15"/>
                <w:szCs w:val="15"/>
                <w:shd w:val="clear" w:color="auto" w:fill="FFFFFF"/>
              </w:rPr>
            </w:pPr>
            <w:r w:rsidRPr="006506DA">
              <w:rPr>
                <w:sz w:val="15"/>
                <w:szCs w:val="15"/>
                <w:shd w:val="clear" w:color="auto" w:fill="FFFFFF"/>
              </w:rPr>
              <w:t>□Provincial and Ministerial Planning Textbook</w:t>
            </w:r>
          </w:p>
          <w:p w14:paraId="3D122C34" w14:textId="77777777" w:rsidR="00F01F5D" w:rsidRPr="006506DA" w:rsidRDefault="00F01F5D" w:rsidP="00F01F5D">
            <w:pPr>
              <w:spacing w:line="260" w:lineRule="exact"/>
              <w:ind w:left="150" w:hangingChars="100" w:hanging="150"/>
              <w:jc w:val="left"/>
              <w:rPr>
                <w:sz w:val="15"/>
                <w:szCs w:val="15"/>
                <w:shd w:val="clear" w:color="auto" w:fill="FFFFFF"/>
              </w:rPr>
            </w:pPr>
            <w:r w:rsidRPr="006506DA">
              <w:rPr>
                <w:sz w:val="15"/>
                <w:szCs w:val="15"/>
                <w:shd w:val="clear" w:color="auto" w:fill="FFFFFF"/>
              </w:rPr>
              <w:t>□School Level Planning Textbook</w:t>
            </w:r>
          </w:p>
          <w:p w14:paraId="7D368E85" w14:textId="77777777" w:rsidR="00F01F5D" w:rsidRPr="006506DA" w:rsidRDefault="00F01F5D" w:rsidP="00F01F5D">
            <w:pPr>
              <w:spacing w:line="260" w:lineRule="exact"/>
              <w:jc w:val="left"/>
              <w:rPr>
                <w:b/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□Others</w:t>
            </w:r>
          </w:p>
        </w:tc>
      </w:tr>
    </w:tbl>
    <w:p w14:paraId="40F5267E" w14:textId="046BFA2A" w:rsidR="00281AEE" w:rsidRPr="005F34FF" w:rsidRDefault="00281AEE">
      <w:pPr>
        <w:rPr>
          <w:b/>
          <w:bCs/>
        </w:rPr>
      </w:pPr>
    </w:p>
    <w:sectPr w:rsidR="00281AEE" w:rsidRPr="005F34FF">
      <w:footerReference w:type="even" r:id="rId11"/>
      <w:footerReference w:type="default" r:id="rId12"/>
      <w:pgSz w:w="11906" w:h="16838"/>
      <w:pgMar w:top="1440" w:right="1800" w:bottom="1985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E8DCB" w14:textId="77777777" w:rsidR="00EF1E20" w:rsidRDefault="00EF1E20">
      <w:r>
        <w:separator/>
      </w:r>
    </w:p>
  </w:endnote>
  <w:endnote w:type="continuationSeparator" w:id="0">
    <w:p w14:paraId="03F320B6" w14:textId="77777777" w:rsidR="00EF1E20" w:rsidRDefault="00EF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KaiTi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_GB2312">
    <w:altName w:val="Microsoft YaHei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STKaiti">
    <w:altName w:val="华文楷体"/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1586D" w14:textId="77777777" w:rsidR="00000000" w:rsidRDefault="00E85575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14:paraId="475A4303" w14:textId="77777777" w:rsidR="00000000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64B73" w14:textId="77777777" w:rsidR="00000000" w:rsidRDefault="00E85575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noProof/>
      </w:rPr>
      <w:t>1</w:t>
    </w:r>
    <w:r>
      <w:fldChar w:fldCharType="end"/>
    </w:r>
  </w:p>
  <w:p w14:paraId="17093573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08BA2" w14:textId="77777777" w:rsidR="00EF1E20" w:rsidRDefault="00EF1E20">
      <w:r>
        <w:separator/>
      </w:r>
    </w:p>
  </w:footnote>
  <w:footnote w:type="continuationSeparator" w:id="0">
    <w:p w14:paraId="74637125" w14:textId="77777777" w:rsidR="00EF1E20" w:rsidRDefault="00EF1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76DFC"/>
    <w:multiLevelType w:val="hybridMultilevel"/>
    <w:tmpl w:val="250A3FB2"/>
    <w:lvl w:ilvl="0" w:tplc="021067F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1" w15:restartNumberingAfterBreak="0">
    <w:nsid w:val="36842368"/>
    <w:multiLevelType w:val="hybridMultilevel"/>
    <w:tmpl w:val="5F662A74"/>
    <w:lvl w:ilvl="0" w:tplc="FDBE3038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A44617"/>
    <w:multiLevelType w:val="hybridMultilevel"/>
    <w:tmpl w:val="CC2688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FF67FCF"/>
    <w:multiLevelType w:val="hybridMultilevel"/>
    <w:tmpl w:val="5610F5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21EDC"/>
    <w:multiLevelType w:val="multilevel"/>
    <w:tmpl w:val="70621EDC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960338243">
    <w:abstractNumId w:val="4"/>
  </w:num>
  <w:num w:numId="2" w16cid:durableId="830827265">
    <w:abstractNumId w:val="2"/>
  </w:num>
  <w:num w:numId="3" w16cid:durableId="1699232667">
    <w:abstractNumId w:val="0"/>
  </w:num>
  <w:num w:numId="4" w16cid:durableId="1287154564">
    <w:abstractNumId w:val="1"/>
  </w:num>
  <w:num w:numId="5" w16cid:durableId="1155299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4FF"/>
    <w:rsid w:val="000668EE"/>
    <w:rsid w:val="0007678A"/>
    <w:rsid w:val="000A4159"/>
    <w:rsid w:val="000A64B7"/>
    <w:rsid w:val="000C68C7"/>
    <w:rsid w:val="000D0DA0"/>
    <w:rsid w:val="00132910"/>
    <w:rsid w:val="0017256A"/>
    <w:rsid w:val="001761F0"/>
    <w:rsid w:val="0018015D"/>
    <w:rsid w:val="0018463E"/>
    <w:rsid w:val="00262289"/>
    <w:rsid w:val="00281AEE"/>
    <w:rsid w:val="00323C5B"/>
    <w:rsid w:val="00331879"/>
    <w:rsid w:val="003472AE"/>
    <w:rsid w:val="00375628"/>
    <w:rsid w:val="003A0EA5"/>
    <w:rsid w:val="003A20D7"/>
    <w:rsid w:val="00482296"/>
    <w:rsid w:val="00504E29"/>
    <w:rsid w:val="0056634A"/>
    <w:rsid w:val="0058323F"/>
    <w:rsid w:val="005A32DD"/>
    <w:rsid w:val="005A5CD9"/>
    <w:rsid w:val="005D3506"/>
    <w:rsid w:val="005F34FF"/>
    <w:rsid w:val="006069A2"/>
    <w:rsid w:val="00653A94"/>
    <w:rsid w:val="006D21D7"/>
    <w:rsid w:val="006D2473"/>
    <w:rsid w:val="006E4F25"/>
    <w:rsid w:val="006E7F87"/>
    <w:rsid w:val="00722550"/>
    <w:rsid w:val="007227FF"/>
    <w:rsid w:val="00722DF4"/>
    <w:rsid w:val="00755906"/>
    <w:rsid w:val="00767CD7"/>
    <w:rsid w:val="00773150"/>
    <w:rsid w:val="00783939"/>
    <w:rsid w:val="008265D0"/>
    <w:rsid w:val="00856B5E"/>
    <w:rsid w:val="00871102"/>
    <w:rsid w:val="0089045A"/>
    <w:rsid w:val="008F5272"/>
    <w:rsid w:val="009626E0"/>
    <w:rsid w:val="00A152C8"/>
    <w:rsid w:val="00A74773"/>
    <w:rsid w:val="00AA47C7"/>
    <w:rsid w:val="00AB749B"/>
    <w:rsid w:val="00B914F7"/>
    <w:rsid w:val="00BC34CE"/>
    <w:rsid w:val="00BC7593"/>
    <w:rsid w:val="00BD4660"/>
    <w:rsid w:val="00C17C69"/>
    <w:rsid w:val="00C76E27"/>
    <w:rsid w:val="00C84EC8"/>
    <w:rsid w:val="00C86FB9"/>
    <w:rsid w:val="00CD7493"/>
    <w:rsid w:val="00CE5CAE"/>
    <w:rsid w:val="00D446B5"/>
    <w:rsid w:val="00D80B02"/>
    <w:rsid w:val="00D83995"/>
    <w:rsid w:val="00DA4BC0"/>
    <w:rsid w:val="00DB42B5"/>
    <w:rsid w:val="00DF61B4"/>
    <w:rsid w:val="00E85575"/>
    <w:rsid w:val="00E926FC"/>
    <w:rsid w:val="00EE0614"/>
    <w:rsid w:val="00EF1E20"/>
    <w:rsid w:val="00F01F5D"/>
    <w:rsid w:val="00F41491"/>
    <w:rsid w:val="00F636D7"/>
    <w:rsid w:val="00F9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29BF1"/>
  <w15:chartTrackingRefBased/>
  <w15:docId w15:val="{7ECEE051-37D1-ED4F-B4A2-79407DC24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4FF"/>
    <w:pPr>
      <w:widowControl w:val="0"/>
      <w:jc w:val="both"/>
    </w:pPr>
    <w:rPr>
      <w:rFonts w:ascii="Calibri" w:eastAsia="SimSun" w:hAnsi="Calibri" w:cs="Times New Roman"/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F34FF"/>
  </w:style>
  <w:style w:type="paragraph" w:styleId="Footer">
    <w:name w:val="footer"/>
    <w:basedOn w:val="Normal"/>
    <w:link w:val="FooterChar"/>
    <w:rsid w:val="005F3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5F34FF"/>
    <w:rPr>
      <w:rFonts w:ascii="Calibri" w:eastAsia="SimSun" w:hAnsi="Calibri" w:cs="Times New Roman"/>
      <w:kern w:val="2"/>
      <w:sz w:val="18"/>
      <w:szCs w:val="18"/>
    </w:rPr>
  </w:style>
  <w:style w:type="paragraph" w:customStyle="1" w:styleId="-11">
    <w:name w:val="彩色列表 - 着色 11"/>
    <w:basedOn w:val="Normal"/>
    <w:uiPriority w:val="34"/>
    <w:qFormat/>
    <w:rsid w:val="005F34FF"/>
    <w:pPr>
      <w:ind w:firstLineChars="200" w:firstLine="420"/>
    </w:pPr>
    <w:rPr>
      <w:szCs w:val="22"/>
    </w:rPr>
  </w:style>
  <w:style w:type="paragraph" w:styleId="ListParagraph">
    <w:name w:val="List Paragraph"/>
    <w:basedOn w:val="Normal"/>
    <w:uiPriority w:val="34"/>
    <w:qFormat/>
    <w:rsid w:val="005F34F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aidu.com/link?url=47JJa4qk0LrDpLNqaOc5vq3QapQmx50Zq2Si4vRilP0LBh4dhC7LdZ11ucoXf4IUT8hpalC4TDsTvQgZFq5vOkmJp5rQO-DihNiIVE0Ui-SRoTDGpQwonRCT8aiX7pDO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7-15T03:43:56.460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0 219 24575,'6'14'0,"5"8"0,6 11 0,1 2 0,-2-4 0,-4-6 0,-6-11 0,-2-8 0,-1-9 0,0-7 0,4-5 0,3-10 0,7-10 0,5-9 0,2-2 0,-2 4 0,-4 7 0,-2 5 0,-2 4 0,-2 4 0,1 6 0,-3 1 0,-2 6 0,-2 1 0,-4 1 0,0 3 0,-1 0 0,-2 2 0,1 2 0,-2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7-15T03:45:05.549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0 219 24575,'6'14'0,"5"8"0,6 11 0,1 2 0,-2-4 0,-4-6 0,-6-11 0,-2-8 0,-1-9 0,0-7 0,4-5 0,3-10 0,7-10 0,5-9 0,2-2 0,-2 4 0,-4 7 0,-2 5 0,-2 4 0,-2 4 0,1 6 0,-3 1 0,-2 6 0,-2 1 0,-4 1 0,0 3 0,-1 0 0,-2 2 0,1 2 0,-2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Zhou</dc:creator>
  <cp:keywords/>
  <dc:description/>
  <cp:lastModifiedBy>Yang Zhou</cp:lastModifiedBy>
  <cp:revision>163</cp:revision>
  <dcterms:created xsi:type="dcterms:W3CDTF">2021-12-02T08:41:00Z</dcterms:created>
  <dcterms:modified xsi:type="dcterms:W3CDTF">2024-07-15T04:25:00Z</dcterms:modified>
</cp:coreProperties>
</file>