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C33874">
      <w:pPr>
        <w:pStyle w:val="4"/>
        <w:spacing w:line="480" w:lineRule="exact"/>
        <w:jc w:val="center"/>
        <w:rPr>
          <w:rFonts w:ascii="等线" w:hAnsi="等线" w:eastAsia="等线"/>
          <w:b/>
          <w:color w:val="000000"/>
          <w:sz w:val="32"/>
          <w:szCs w:val="32"/>
        </w:rPr>
      </w:pPr>
      <w:r>
        <w:rPr>
          <w:rFonts w:hint="eastAsia" w:ascii="等线" w:hAnsi="等线" w:eastAsia="等线"/>
          <w:b/>
          <w:color w:val="000000"/>
          <w:sz w:val="32"/>
          <w:szCs w:val="32"/>
        </w:rPr>
        <w:t>20</w:t>
      </w:r>
      <w:r>
        <w:rPr>
          <w:rFonts w:ascii="等线" w:hAnsi="等线" w:eastAsia="等线"/>
          <w:b/>
          <w:color w:val="000000"/>
          <w:sz w:val="32"/>
          <w:szCs w:val="32"/>
        </w:rPr>
        <w:t>2</w:t>
      </w:r>
      <w:r>
        <w:rPr>
          <w:rFonts w:hint="eastAsia" w:ascii="等线" w:hAnsi="等线" w:eastAsia="等线"/>
          <w:b/>
          <w:color w:val="000000"/>
          <w:sz w:val="32"/>
          <w:szCs w:val="32"/>
        </w:rPr>
        <w:t>6牛津大学奥利尔学院</w:t>
      </w:r>
    </w:p>
    <w:p w14:paraId="105980BA">
      <w:pPr>
        <w:pStyle w:val="4"/>
        <w:spacing w:line="480" w:lineRule="exact"/>
        <w:jc w:val="center"/>
        <w:rPr>
          <w:rFonts w:ascii="等线" w:hAnsi="等线" w:eastAsia="等线"/>
          <w:b/>
          <w:color w:val="000000"/>
          <w:sz w:val="32"/>
          <w:szCs w:val="32"/>
        </w:rPr>
      </w:pPr>
      <w:r>
        <w:rPr>
          <w:rFonts w:hint="eastAsia" w:ascii="等线" w:hAnsi="等线" w:eastAsia="等线"/>
          <w:b/>
          <w:color w:val="000000"/>
          <w:sz w:val="32"/>
          <w:szCs w:val="32"/>
        </w:rPr>
        <w:t>暑期学分课程报名通知</w:t>
      </w:r>
    </w:p>
    <w:p w14:paraId="4D166AA0">
      <w:pPr>
        <w:ind w:left="440" w:hanging="440"/>
      </w:pPr>
    </w:p>
    <w:p w14:paraId="00CFC5A8">
      <w:pPr>
        <w:pStyle w:val="12"/>
        <w:numPr>
          <w:ilvl w:val="0"/>
          <w:numId w:val="1"/>
        </w:numPr>
        <w:ind w:firstLineChars="0"/>
        <w:rPr>
          <w:b/>
          <w:bCs/>
        </w:rPr>
      </w:pPr>
      <w:r>
        <w:rPr>
          <w:rFonts w:hint="eastAsia"/>
          <w:b/>
          <w:bCs/>
        </w:rPr>
        <w:t>课程简介</w:t>
      </w:r>
    </w:p>
    <w:p w14:paraId="23CACF29">
      <w:pPr>
        <w:rPr>
          <w:lang w:val="en-GB"/>
        </w:rPr>
      </w:pPr>
      <w:r>
        <w:rPr>
          <w:rFonts w:hint="eastAsia"/>
        </w:rPr>
        <w:t>The Oriel Summer Institute由</w:t>
      </w:r>
      <w:r>
        <w:t>牛津大学奥利尔学院举办，课程设置与教学实施均由学院直接负责，面向全球优秀学生招生。项目学制为2–4周，学生可根据个人学习计划修读1–2门课程。</w:t>
      </w:r>
      <w:r>
        <w:rPr>
          <w:lang w:val="en-GB"/>
        </w:rPr>
        <w:t>课程由牛津大学奥利尔学院学术委员会（Advisory Panel）督导，所有授课教师均来自牛津大学，采用严谨的教学模式。完成学习并通过考核后，学生将获得由奥利尔学院院董（Fellow）签发的官方结业证书及成绩单。</w:t>
      </w:r>
      <w:r>
        <w:rPr>
          <w:rFonts w:hint="eastAsia"/>
          <w:b/>
          <w:bCs/>
        </w:rPr>
        <w:t>课程官网</w:t>
      </w:r>
      <w:r>
        <w:rPr>
          <w:rFonts w:hint="eastAsia"/>
        </w:rPr>
        <w:t>：</w:t>
      </w:r>
      <w:r>
        <w:fldChar w:fldCharType="begin"/>
      </w:r>
      <w:r>
        <w:instrText xml:space="preserve"> HYPERLINK "https://summerinstitute.oriel.ox.ac.uk/" </w:instrText>
      </w:r>
      <w:r>
        <w:fldChar w:fldCharType="separate"/>
      </w:r>
      <w:r>
        <w:rPr>
          <w:rStyle w:val="9"/>
        </w:rPr>
        <w:t>https://summerinstitute.oriel.ox.ac.uk/</w:t>
      </w:r>
      <w:r>
        <w:rPr>
          <w:rStyle w:val="9"/>
        </w:rPr>
        <w:fldChar w:fldCharType="end"/>
      </w:r>
    </w:p>
    <w:p w14:paraId="367A2C57">
      <w:pPr>
        <w:rPr>
          <w:lang w:val="en-GB"/>
        </w:rPr>
      </w:pPr>
    </w:p>
    <w:p w14:paraId="0BF7E95E">
      <w:pPr>
        <w:pStyle w:val="12"/>
        <w:numPr>
          <w:ilvl w:val="0"/>
          <w:numId w:val="2"/>
        </w:numPr>
        <w:ind w:firstLineChars="0"/>
        <w:rPr>
          <w:b/>
          <w:bCs/>
        </w:rPr>
      </w:pPr>
      <w:r>
        <w:rPr>
          <w:rFonts w:hint="eastAsia"/>
          <w:b/>
          <w:bCs/>
        </w:rPr>
        <w:t>学院简介</w:t>
      </w:r>
    </w:p>
    <w:p w14:paraId="69D5F322">
      <w:r>
        <w:t>Oriel College（奥利尔学院）于1326年由英格兰国王爱德华二世建立，</w:t>
      </w:r>
      <w:r>
        <w:rPr>
          <w:b/>
          <w:bCs/>
        </w:rPr>
        <w:t>2026年正值学院700周年院庆</w:t>
      </w:r>
      <w:r>
        <w:t>，是牛津大学最历史最悠久的学院之一。学院与皇室有着不解的渊源，是牛津最古老的皇家学院，位于牛津城市中心，交通和生活极为便利</w:t>
      </w:r>
    </w:p>
    <w:p w14:paraId="73BE623B"/>
    <w:p w14:paraId="2018F68C">
      <w:pPr>
        <w:pStyle w:val="12"/>
        <w:numPr>
          <w:ilvl w:val="0"/>
          <w:numId w:val="3"/>
        </w:numPr>
        <w:ind w:firstLineChars="0"/>
      </w:pPr>
      <w:r>
        <w:rPr>
          <w:rFonts w:hint="eastAsia"/>
          <w:b/>
          <w:bCs/>
        </w:rPr>
        <w:t>课程日期</w:t>
      </w:r>
    </w:p>
    <w:p w14:paraId="24DAA64A">
      <w:pPr>
        <w:pStyle w:val="11"/>
        <w:rPr>
          <w:b/>
          <w:bCs/>
        </w:rPr>
      </w:pPr>
      <w:r>
        <w:rPr>
          <w:rFonts w:hint="eastAsia"/>
          <w:b/>
          <w:bCs/>
        </w:rPr>
        <w:t>2026年7月19日- 2025年8月15日（共2期）</w:t>
      </w:r>
    </w:p>
    <w:p w14:paraId="732A343B">
      <w:pPr>
        <w:pStyle w:val="11"/>
      </w:pPr>
      <w:r>
        <w:rPr>
          <w:rFonts w:hint="eastAsia"/>
        </w:rPr>
        <w:t>第</w:t>
      </w:r>
      <w:r>
        <w:rPr>
          <w:rFonts w:hint="eastAsia"/>
          <w:lang w:val="en-GB"/>
        </w:rPr>
        <w:t>一</w:t>
      </w:r>
      <w:r>
        <w:rPr>
          <w:rFonts w:hint="eastAsia"/>
        </w:rPr>
        <w:t>期：7月19日~ 8月1日</w:t>
      </w:r>
    </w:p>
    <w:p w14:paraId="3522A2FC">
      <w:pPr>
        <w:pStyle w:val="11"/>
      </w:pPr>
      <w:r>
        <w:rPr>
          <w:rFonts w:hint="eastAsia"/>
        </w:rPr>
        <w:t>第二期：8月2日~ 8月15日</w:t>
      </w:r>
    </w:p>
    <w:p w14:paraId="13435575">
      <w:pPr>
        <w:pStyle w:val="11"/>
      </w:pPr>
    </w:p>
    <w:p w14:paraId="7B60ECC5">
      <w:pPr>
        <w:pStyle w:val="12"/>
        <w:numPr>
          <w:ilvl w:val="0"/>
          <w:numId w:val="3"/>
        </w:numPr>
        <w:ind w:firstLineChars="0"/>
      </w:pPr>
      <w:r>
        <w:rPr>
          <w:rFonts w:hint="eastAsia"/>
          <w:b/>
          <w:bCs/>
        </w:rPr>
        <w:t>课程亮点</w:t>
      </w:r>
    </w:p>
    <w:p w14:paraId="356EB271">
      <w:pPr>
        <w:pStyle w:val="11"/>
        <w:rPr>
          <w:u w:color="000000"/>
        </w:rPr>
      </w:pPr>
      <w:r>
        <w:rPr>
          <w:rFonts w:hint="eastAsia"/>
          <w:b/>
          <w:bCs/>
          <w:u w:color="000000"/>
        </w:rPr>
        <w:t>卓越牛津教学环境</w:t>
      </w:r>
      <w:r>
        <w:rPr>
          <w:rFonts w:hint="eastAsia"/>
          <w:b/>
          <w:bCs/>
          <w:u w:color="000000"/>
          <w:lang w:val="en-GB"/>
        </w:rPr>
        <w:t xml:space="preserve"> </w:t>
      </w:r>
      <w:r>
        <w:rPr>
          <w:rFonts w:hint="eastAsia"/>
          <w:u w:color="000000"/>
          <w:lang w:val="en-GB"/>
        </w:rPr>
        <w:t xml:space="preserve">—— </w:t>
      </w:r>
      <w:r>
        <w:rPr>
          <w:u w:color="000000"/>
        </w:rPr>
        <w:t>课程由牛津大学奥利尔学院学术委员会全程督导，委员会成员均为学院Fellow，对课程设置、教学质量及评估体系进行统一把控。课程基于牛津大学成熟的教学传统与学院制课堂模式，强调小班讨论、深度阅读与批判性思考训练，使学生在高强度、连续性的学习节奏中，真实体验牛津课堂的学术要求与教学风格。</w:t>
      </w:r>
    </w:p>
    <w:p w14:paraId="05D14D31">
      <w:pPr>
        <w:pStyle w:val="11"/>
        <w:rPr>
          <w:u w:color="000000"/>
          <w:lang w:val="en-GB"/>
        </w:rPr>
      </w:pPr>
    </w:p>
    <w:p w14:paraId="506842AB">
      <w:pPr>
        <w:pStyle w:val="11"/>
        <w:rPr>
          <w:u w:color="000000"/>
        </w:rPr>
      </w:pPr>
      <w:r>
        <w:rPr>
          <w:rFonts w:hint="eastAsia"/>
          <w:b/>
          <w:bCs/>
          <w:u w:color="000000"/>
        </w:rPr>
        <w:t>官方学院项目认证</w:t>
      </w:r>
      <w:r>
        <w:rPr>
          <w:u w:color="000000"/>
        </w:rPr>
        <w:t xml:space="preserve"> —— 完成课程并通过考核的学员，将获得由牛津大学奥利尔学院正式颁发、并由学院 Fellow签署的官方证书与成绩单。每门课程对应 4 个欧洲学分（ECTS）或 2 个美国学分（US Credits），作为正式学术记录，奥利尔学院亦可协助学生在后续海外学习申请中进行成绩单的认证与官方递送。</w:t>
      </w:r>
    </w:p>
    <w:p w14:paraId="4AD272C3">
      <w:pPr>
        <w:pStyle w:val="11"/>
        <w:rPr>
          <w:u w:color="000000"/>
        </w:rPr>
      </w:pPr>
    </w:p>
    <w:p w14:paraId="62D198C5">
      <w:pPr>
        <w:pStyle w:val="11"/>
        <w:rPr>
          <w:u w:color="000000"/>
        </w:rPr>
      </w:pPr>
      <w:r>
        <w:rPr>
          <w:rFonts w:hint="eastAsia"/>
          <w:b/>
          <w:bCs/>
          <w:u w:color="000000"/>
        </w:rPr>
        <w:t>单一学院深度融入</w:t>
      </w:r>
      <w:r>
        <w:rPr>
          <w:u w:color="000000"/>
        </w:rPr>
        <w:t xml:space="preserve"> —— 项目由牛津大学奥利尔学院各部门老师共同参与学生管理，课程期间全程由学院学生担任 Delegate Advisor，与学员共同生活，提供持续的学习与生活支持。从学院餐饮、教学安排到日常管理，项目完全基于单一学院体系运行，使学生在真实、连续的学院环境中，深度融入牛津大学独有的学院制学习与生活模式。</w:t>
      </w:r>
    </w:p>
    <w:p w14:paraId="6AA99BEC">
      <w:pPr>
        <w:pStyle w:val="11"/>
        <w:rPr>
          <w:u w:color="000000"/>
        </w:rPr>
      </w:pPr>
    </w:p>
    <w:p w14:paraId="3258C41B">
      <w:pPr>
        <w:pStyle w:val="11"/>
        <w:rPr>
          <w:u w:color="000000"/>
        </w:rPr>
      </w:pPr>
      <w:r>
        <w:rPr>
          <w:rFonts w:hint="eastAsia"/>
          <w:b/>
          <w:bCs/>
          <w:u w:color="000000"/>
        </w:rPr>
        <w:t xml:space="preserve">多元文化思想对话 </w:t>
      </w:r>
      <w:r>
        <w:rPr>
          <w:u w:color="000000"/>
        </w:rPr>
        <w:t>——</w:t>
      </w:r>
      <w:r>
        <w:rPr>
          <w:rFonts w:hint="eastAsia"/>
          <w:u w:color="000000"/>
        </w:rPr>
        <w:t xml:space="preserve"> </w:t>
      </w:r>
      <w:r>
        <w:rPr>
          <w:u w:color="000000"/>
        </w:rPr>
        <w:t>项目置身于牛津这一具有深厚学术传统的英伦文化环境之中，学院公共空间与日常学习生活本身即构成持续展开的思想交流场域。来自不同国家与文化背景的学生在真实的英伦学院语境中进行讨论与互动，使多元文化不止于并存，而转化为开放、理性的思想对话</w:t>
      </w:r>
    </w:p>
    <w:p w14:paraId="4B366AB5">
      <w:r>
        <w:rPr>
          <w:rFonts w:hint="eastAsia"/>
          <w:b/>
          <w:bCs/>
          <w:lang w:val="en-GB"/>
        </w:rPr>
        <w:t>丰富文化与学术体验</w:t>
      </w:r>
      <w:r>
        <w:rPr>
          <w:rFonts w:hint="eastAsia"/>
          <w:lang w:val="en-GB"/>
        </w:rPr>
        <w:t xml:space="preserve"> </w:t>
      </w:r>
      <w:r>
        <w:rPr>
          <w:rFonts w:hint="eastAsia"/>
          <w:u w:color="000000"/>
          <w:lang w:val="en-GB"/>
        </w:rPr>
        <w:t xml:space="preserve">—— </w:t>
      </w:r>
      <w:r>
        <w:rPr>
          <w:lang w:val="en-GB"/>
        </w:rPr>
        <w:t>项目穿插设置延展学习（Extended Learning）、跨学科专题讲座（Evening Talks）及学术技能工作坊（Academic Skills Workshops），帮助学生拓展学术视野、提升学术研究与学习能力。</w:t>
      </w:r>
      <w:r>
        <w:rPr>
          <w:rFonts w:hint="eastAsia"/>
        </w:rPr>
        <w:t>与此同时，课程配套丰富的文化与实践活动，组织学生参访伦敦、巴斯等英格兰知名城市及牛津周边特色文化小镇，参与牛津传统活动，深入体验英国文化与牛津学术氛围。 </w:t>
      </w:r>
    </w:p>
    <w:p w14:paraId="28744EEB">
      <w:pPr>
        <w:pStyle w:val="11"/>
        <w:rPr>
          <w:u w:color="000000"/>
        </w:rPr>
      </w:pPr>
    </w:p>
    <w:p w14:paraId="0A723893">
      <w:pPr>
        <w:pStyle w:val="12"/>
        <w:numPr>
          <w:ilvl w:val="0"/>
          <w:numId w:val="3"/>
        </w:numPr>
        <w:ind w:firstLineChars="0"/>
        <w:rPr>
          <w:b/>
          <w:bCs/>
        </w:rPr>
      </w:pPr>
      <w:r>
        <w:rPr>
          <w:rFonts w:hint="eastAsia"/>
          <w:b/>
          <w:bCs/>
        </w:rPr>
        <w:t>可选课程（拟）</w:t>
      </w:r>
    </w:p>
    <w:p w14:paraId="6DD5EB73">
      <w:pPr>
        <w:pStyle w:val="11"/>
        <w:rPr>
          <w:u w:color="000000"/>
        </w:rPr>
      </w:pPr>
      <w:bookmarkStart w:id="0" w:name="_Hlk150436462"/>
      <w:r>
        <w:drawing>
          <wp:inline distT="0" distB="0" distL="0" distR="0">
            <wp:extent cx="4147185" cy="3317875"/>
            <wp:effectExtent l="0" t="0" r="5715" b="0"/>
            <wp:docPr id="954647768" name="Picture 2" descr="A table of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647768" name="Picture 2" descr="A table of information&#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165042" cy="3332234"/>
                    </a:xfrm>
                    <a:prstGeom prst="rect">
                      <a:avLst/>
                    </a:prstGeom>
                    <a:noFill/>
                    <a:ln>
                      <a:noFill/>
                    </a:ln>
                  </pic:spPr>
                </pic:pic>
              </a:graphicData>
            </a:graphic>
          </wp:inline>
        </w:drawing>
      </w:r>
    </w:p>
    <w:p w14:paraId="2300D5A4">
      <w:pPr>
        <w:pStyle w:val="11"/>
        <w:rPr>
          <w:u w:color="000000"/>
        </w:rPr>
      </w:pPr>
      <w:r>
        <w:rPr>
          <w:rFonts w:hint="eastAsia"/>
          <w:u w:color="000000"/>
        </w:rPr>
        <w:t>请关注项目官网获取最新课程开设信息</w:t>
      </w:r>
    </w:p>
    <w:p w14:paraId="58F12712">
      <w:pPr>
        <w:pStyle w:val="11"/>
        <w:rPr>
          <w:u w:color="000000"/>
        </w:rPr>
      </w:pPr>
    </w:p>
    <w:bookmarkEnd w:id="0"/>
    <w:p w14:paraId="4D542773">
      <w:pPr>
        <w:pStyle w:val="12"/>
        <w:numPr>
          <w:ilvl w:val="0"/>
          <w:numId w:val="3"/>
        </w:numPr>
        <w:ind w:firstLineChars="0"/>
        <w:rPr>
          <w:b/>
          <w:bCs/>
        </w:rPr>
      </w:pPr>
      <w:r>
        <w:rPr>
          <w:b/>
          <w:bCs/>
        </w:rPr>
        <w:t>申请要求：</w:t>
      </w:r>
    </w:p>
    <w:p w14:paraId="307A4A22">
      <w:pPr>
        <w:pStyle w:val="11"/>
      </w:pPr>
      <w:r>
        <w:rPr>
          <w:rFonts w:hint="eastAsia"/>
        </w:rPr>
        <w:t>年级要求：本科生或研究生</w:t>
      </w:r>
    </w:p>
    <w:p w14:paraId="5E7ACEA5">
      <w:pPr>
        <w:pStyle w:val="11"/>
      </w:pPr>
      <w:r>
        <w:rPr>
          <w:rFonts w:hint="eastAsia"/>
        </w:rPr>
        <w:t>专业要求：不限</w:t>
      </w:r>
    </w:p>
    <w:p w14:paraId="2856770B">
      <w:pPr>
        <w:pStyle w:val="11"/>
      </w:pPr>
      <w:r>
        <w:rPr>
          <w:rFonts w:hint="eastAsia"/>
        </w:rPr>
        <w:t>英语要求：</w:t>
      </w:r>
      <w:r>
        <w:rPr>
          <w:rFonts w:hint="eastAsia"/>
          <w:lang w:val="en-GB"/>
        </w:rPr>
        <w:t>全英语学习专业可以免除语言证明，</w:t>
      </w:r>
      <w:r>
        <w:t>雅思6.</w:t>
      </w:r>
      <w:r>
        <w:rPr>
          <w:rFonts w:hint="eastAsia"/>
        </w:rPr>
        <w:t>5</w:t>
      </w:r>
      <w:r>
        <w:t>分及以上</w:t>
      </w:r>
      <w:r>
        <w:rPr>
          <w:lang w:val="en-GB"/>
        </w:rPr>
        <w:t>;</w:t>
      </w:r>
      <w:r>
        <w:rPr>
          <w:rFonts w:hint="eastAsia"/>
        </w:rPr>
        <w:t xml:space="preserve"> 托福</w:t>
      </w:r>
      <w:r>
        <w:t xml:space="preserve">ibt </w:t>
      </w:r>
      <w:r>
        <w:rPr>
          <w:rFonts w:hint="eastAsia"/>
        </w:rPr>
        <w:t>90</w:t>
      </w:r>
      <w:r>
        <w:t>分</w:t>
      </w:r>
      <w:r>
        <w:rPr>
          <w:rFonts w:hint="eastAsia"/>
        </w:rPr>
        <w:t>；四级550分；六级530分；高考英语130分（大一学生）</w:t>
      </w:r>
      <w:r>
        <w:t>以上或同等英语水平。</w:t>
      </w:r>
      <w:r>
        <w:rPr>
          <w:rFonts w:hint="eastAsia"/>
        </w:rPr>
        <w:t>语言不达标者需要参加学院组织的英语测试。</w:t>
      </w:r>
    </w:p>
    <w:p w14:paraId="136EB9A0">
      <w:pPr>
        <w:pStyle w:val="11"/>
      </w:pPr>
    </w:p>
    <w:p w14:paraId="5365668A">
      <w:pPr>
        <w:pStyle w:val="12"/>
        <w:numPr>
          <w:ilvl w:val="0"/>
          <w:numId w:val="3"/>
        </w:numPr>
        <w:ind w:firstLineChars="0"/>
        <w:rPr>
          <w:b/>
          <w:bCs/>
        </w:rPr>
      </w:pPr>
      <w:r>
        <w:rPr>
          <w:b/>
          <w:bCs/>
        </w:rPr>
        <w:t>课程费用</w:t>
      </w:r>
    </w:p>
    <w:p w14:paraId="087C295C">
      <w:pPr>
        <w:pStyle w:val="11"/>
        <w:rPr>
          <w:lang w:val="en-GB"/>
        </w:rPr>
      </w:pPr>
      <w:r>
        <w:rPr>
          <w:lang w:val="en-GB"/>
        </w:rPr>
        <w:t>本项目面向</w:t>
      </w:r>
      <w:r>
        <w:rPr>
          <w:rFonts w:hint="eastAsia"/>
          <w:lang w:val="en-GB"/>
        </w:rPr>
        <w:t>我校</w:t>
      </w:r>
      <w:r>
        <w:rPr>
          <w:lang w:val="en-GB"/>
        </w:rPr>
        <w:t>在读学生提供专项学费减免900英镑的支持政策。于3月15日前完成官网申请的学员，可在上述优惠基础上额外享受200英镑早鸟申请减免，并在住宿房型选择上享有优先权。</w:t>
      </w:r>
    </w:p>
    <w:p w14:paraId="2FC49331">
      <w:pPr>
        <w:pStyle w:val="11"/>
        <w:rPr>
          <w:lang w:val="en-GB"/>
        </w:rPr>
      </w:pPr>
    </w:p>
    <w:p w14:paraId="1CB326B9">
      <w:pPr>
        <w:pStyle w:val="11"/>
      </w:pPr>
      <w:r>
        <w:rPr>
          <w:lang w:val="en-GB"/>
        </w:rPr>
        <w:t>以下为我校学生可享受的课程费用标准。</w:t>
      </w:r>
    </w:p>
    <w:p w14:paraId="3FF74AC0">
      <w:pPr>
        <w:pStyle w:val="11"/>
      </w:pPr>
      <w:r>
        <w:drawing>
          <wp:inline distT="0" distB="0" distL="0" distR="0">
            <wp:extent cx="5278120" cy="2034540"/>
            <wp:effectExtent l="0" t="0" r="0" b="3810"/>
            <wp:docPr id="2749176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917633"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8120" cy="2034540"/>
                    </a:xfrm>
                    <a:prstGeom prst="rect">
                      <a:avLst/>
                    </a:prstGeom>
                    <a:noFill/>
                    <a:ln>
                      <a:noFill/>
                    </a:ln>
                  </pic:spPr>
                </pic:pic>
              </a:graphicData>
            </a:graphic>
          </wp:inline>
        </w:drawing>
      </w:r>
    </w:p>
    <w:p w14:paraId="3404D0A0">
      <w:pPr>
        <w:pStyle w:val="11"/>
        <w:rPr>
          <w:lang w:val="en-GB"/>
        </w:rPr>
      </w:pPr>
      <w:r>
        <w:rPr>
          <w:rFonts w:hint="eastAsia"/>
          <w:b/>
          <w:bCs/>
          <w:lang w:val="en-GB"/>
        </w:rPr>
        <w:t>每两周费用包含</w:t>
      </w:r>
      <w:r>
        <w:rPr>
          <w:rFonts w:hint="eastAsia"/>
          <w:lang w:val="en-GB"/>
        </w:rPr>
        <w:t>：</w:t>
      </w:r>
    </w:p>
    <w:p w14:paraId="37C45ECB">
      <w:pPr>
        <w:pStyle w:val="11"/>
        <w:numPr>
          <w:ilvl w:val="0"/>
          <w:numId w:val="4"/>
        </w:numPr>
        <w:rPr>
          <w:lang w:val="en-GB"/>
        </w:rPr>
      </w:pPr>
      <w:r>
        <w:rPr>
          <w:rFonts w:hint="eastAsia"/>
          <w:lang w:val="en-GB"/>
        </w:rPr>
        <w:t>40小时课程学费及课程相关学术活动费用</w:t>
      </w:r>
    </w:p>
    <w:p w14:paraId="03757554">
      <w:pPr>
        <w:pStyle w:val="11"/>
        <w:numPr>
          <w:ilvl w:val="0"/>
          <w:numId w:val="4"/>
        </w:numPr>
        <w:rPr>
          <w:lang w:val="en-GB"/>
        </w:rPr>
      </w:pPr>
      <w:r>
        <w:rPr>
          <w:rFonts w:hint="eastAsia"/>
          <w:lang w:val="en-GB"/>
        </w:rPr>
        <w:t>牛津当地活动及周末一日游</w:t>
      </w:r>
    </w:p>
    <w:p w14:paraId="4C22DA5A">
      <w:pPr>
        <w:pStyle w:val="11"/>
        <w:numPr>
          <w:ilvl w:val="0"/>
          <w:numId w:val="4"/>
        </w:numPr>
        <w:rPr>
          <w:lang w:val="en-GB"/>
        </w:rPr>
      </w:pPr>
      <w:r>
        <w:rPr>
          <w:rFonts w:hint="eastAsia"/>
          <w:lang w:val="en-GB"/>
        </w:rPr>
        <w:t>学院住宿费用（单人间）</w:t>
      </w:r>
    </w:p>
    <w:p w14:paraId="701F896E">
      <w:pPr>
        <w:pStyle w:val="11"/>
        <w:numPr>
          <w:ilvl w:val="0"/>
          <w:numId w:val="4"/>
        </w:numPr>
        <w:rPr>
          <w:lang w:val="en-GB"/>
        </w:rPr>
      </w:pPr>
      <w:r>
        <w:rPr>
          <w:rFonts w:hint="eastAsia"/>
          <w:lang w:val="en-GB"/>
        </w:rPr>
        <w:t>餐饮安排（周一至周五每日三餐，周末每日早餐）</w:t>
      </w:r>
    </w:p>
    <w:p w14:paraId="04E83FE5">
      <w:pPr>
        <w:pStyle w:val="11"/>
        <w:numPr>
          <w:ilvl w:val="0"/>
          <w:numId w:val="4"/>
        </w:numPr>
        <w:rPr>
          <w:lang w:val="en-GB"/>
        </w:rPr>
      </w:pPr>
      <w:r>
        <w:rPr>
          <w:rFonts w:hint="eastAsia"/>
          <w:lang w:val="en-GB"/>
        </w:rPr>
        <w:t>欢迎酒会及毕业正式晚餐</w:t>
      </w:r>
    </w:p>
    <w:p w14:paraId="5CE7DC47">
      <w:pPr>
        <w:pStyle w:val="11"/>
        <w:numPr>
          <w:ilvl w:val="0"/>
          <w:numId w:val="4"/>
        </w:numPr>
        <w:rPr>
          <w:lang w:val="en-GB"/>
        </w:rPr>
      </w:pPr>
      <w:r>
        <w:rPr>
          <w:rFonts w:hint="eastAsia"/>
          <w:lang w:val="en-GB"/>
        </w:rPr>
        <w:t>官方结业证书与成绩单</w:t>
      </w:r>
    </w:p>
    <w:p w14:paraId="45FA7073">
      <w:pPr>
        <w:pStyle w:val="11"/>
        <w:numPr>
          <w:ilvl w:val="0"/>
          <w:numId w:val="4"/>
        </w:numPr>
        <w:rPr>
          <w:lang w:val="en-GB"/>
        </w:rPr>
      </w:pPr>
      <w:r>
        <w:rPr>
          <w:rFonts w:hint="eastAsia"/>
          <w:lang w:val="en-GB"/>
        </w:rPr>
        <w:t>24小时学院管理与生活支持</w:t>
      </w:r>
    </w:p>
    <w:p w14:paraId="33B8D1C1">
      <w:pPr>
        <w:pStyle w:val="11"/>
        <w:numPr>
          <w:ilvl w:val="0"/>
          <w:numId w:val="4"/>
        </w:numPr>
        <w:rPr>
          <w:lang w:val="en-GB"/>
        </w:rPr>
      </w:pPr>
      <w:r>
        <w:rPr>
          <w:rFonts w:hint="eastAsia"/>
          <w:lang w:val="en-GB"/>
        </w:rPr>
        <w:t>希思罗机场接送机（须符合条件）</w:t>
      </w:r>
    </w:p>
    <w:p w14:paraId="6D65FC96">
      <w:pPr>
        <w:pStyle w:val="11"/>
      </w:pPr>
    </w:p>
    <w:p w14:paraId="322F25F0">
      <w:pPr>
        <w:pStyle w:val="11"/>
      </w:pPr>
      <w:r>
        <w:rPr>
          <w:rFonts w:hint="eastAsia"/>
        </w:rPr>
        <w:t>上述费用不包括：国际旅费、签证费、保险费、在英国期间其他个人消费。</w:t>
      </w:r>
    </w:p>
    <w:p w14:paraId="4EDBE6AF">
      <w:pPr>
        <w:pStyle w:val="11"/>
      </w:pPr>
    </w:p>
    <w:p w14:paraId="0E26DC94">
      <w:pPr>
        <w:pStyle w:val="12"/>
        <w:numPr>
          <w:ilvl w:val="0"/>
          <w:numId w:val="3"/>
        </w:numPr>
        <w:ind w:firstLineChars="0"/>
        <w:rPr>
          <w:b/>
          <w:bCs/>
          <w:highlight w:val="yellow"/>
        </w:rPr>
      </w:pPr>
      <w:r>
        <w:rPr>
          <w:rFonts w:hint="eastAsia"/>
          <w:b/>
          <w:bCs/>
          <w:highlight w:val="yellow"/>
        </w:rPr>
        <w:t>报名截止</w:t>
      </w:r>
    </w:p>
    <w:p w14:paraId="68037158">
      <w:pPr>
        <w:pStyle w:val="11"/>
      </w:pPr>
      <w:r>
        <w:rPr>
          <w:highlight w:val="yellow"/>
        </w:rPr>
        <w:t>本课程采用符合条件者先到先得的录取原则，名额有限，额满即止。请有意向的学生于 4月30日前完成报名及相关费用缴纳。</w:t>
      </w:r>
    </w:p>
    <w:p w14:paraId="47611B57">
      <w:pPr>
        <w:pStyle w:val="11"/>
      </w:pPr>
    </w:p>
    <w:p w14:paraId="52CB4830">
      <w:pPr>
        <w:pStyle w:val="11"/>
        <w:numPr>
          <w:ilvl w:val="0"/>
          <w:numId w:val="3"/>
        </w:numPr>
        <w:rPr>
          <w:b/>
          <w:bCs/>
        </w:rPr>
      </w:pPr>
      <w:r>
        <w:rPr>
          <w:b/>
          <w:bCs/>
        </w:rPr>
        <w:t>报名及咨询</w:t>
      </w:r>
    </w:p>
    <w:p w14:paraId="2272B072">
      <w:pPr>
        <w:pStyle w:val="11"/>
      </w:pPr>
      <w:r>
        <w:rPr>
          <w:rFonts w:hint="eastAsia"/>
          <w:highlight w:val="yellow"/>
        </w:rPr>
        <w:t>校内联系老师</w:t>
      </w:r>
      <w:r>
        <w:rPr>
          <w:rFonts w:hint="eastAsia"/>
        </w:rPr>
        <w:t>：</w:t>
      </w:r>
    </w:p>
    <w:p w14:paraId="0BBA5AB7">
      <w:pPr>
        <w:pStyle w:val="11"/>
      </w:pPr>
      <w:r>
        <w:rPr>
          <w:rFonts w:hint="eastAsia"/>
        </w:rPr>
        <w:t>官网报名链接</w:t>
      </w:r>
      <w:r>
        <w:fldChar w:fldCharType="begin"/>
      </w:r>
      <w:r>
        <w:instrText xml:space="preserve"> HYPERLINK "https://summerinstitute.oriel.ox.ac.uk/vle/application" </w:instrText>
      </w:r>
      <w:r>
        <w:fldChar w:fldCharType="separate"/>
      </w:r>
      <w:r>
        <w:rPr>
          <w:rStyle w:val="9"/>
        </w:rPr>
        <w:t>https://summerinstitute.oriel.ox.ac.uk/vle/application</w:t>
      </w:r>
      <w:r>
        <w:rPr>
          <w:rStyle w:val="9"/>
        </w:rPr>
        <w:fldChar w:fldCharType="end"/>
      </w:r>
    </w:p>
    <w:p w14:paraId="4E465126">
      <w:pPr>
        <w:pStyle w:val="11"/>
        <w:rPr>
          <w:rStyle w:val="9"/>
        </w:rPr>
      </w:pPr>
      <w:r>
        <w:rPr>
          <w:rFonts w:hint="eastAsia"/>
        </w:rPr>
        <w:t>课程咨询可电邮</w:t>
      </w:r>
      <w:r>
        <w:fldChar w:fldCharType="begin"/>
      </w:r>
      <w:r>
        <w:instrText xml:space="preserve"> HYPERLINK "mailto:summerinstitute@oriel.ox.ac.uk" </w:instrText>
      </w:r>
      <w:r>
        <w:fldChar w:fldCharType="separate"/>
      </w:r>
      <w:r>
        <w:rPr>
          <w:rStyle w:val="9"/>
        </w:rPr>
        <w:t>summerinstitute</w:t>
      </w:r>
      <w:r>
        <w:rPr>
          <w:rStyle w:val="9"/>
          <w:rFonts w:hint="eastAsia"/>
        </w:rPr>
        <w:t>@</w:t>
      </w:r>
      <w:r>
        <w:rPr>
          <w:rStyle w:val="9"/>
        </w:rPr>
        <w:t>orie</w:t>
      </w:r>
      <w:r>
        <w:rPr>
          <w:rStyle w:val="9"/>
          <w:rFonts w:hint="eastAsia"/>
        </w:rPr>
        <w:t>l.ox.ac.uk</w:t>
      </w:r>
      <w:r>
        <w:rPr>
          <w:rStyle w:val="9"/>
          <w:rFonts w:hint="eastAsia"/>
        </w:rPr>
        <w:fldChar w:fldCharType="end"/>
      </w:r>
    </w:p>
    <w:p w14:paraId="09A9C61E">
      <w:pPr>
        <w:pStyle w:val="11"/>
      </w:pPr>
      <w:r>
        <w:t>或加入课程咨询</w:t>
      </w:r>
      <w:r>
        <w:rPr>
          <w:highlight w:val="yellow"/>
        </w:rPr>
        <w:t>QQ群</w:t>
      </w:r>
      <w:r>
        <w:t>，由课程方负责老师进行</w:t>
      </w:r>
      <w:r>
        <w:rPr>
          <w:rFonts w:hint="eastAsia"/>
        </w:rPr>
        <w:t>答疑</w:t>
      </w:r>
    </w:p>
    <w:p w14:paraId="72EB1347">
      <w:pPr>
        <w:pStyle w:val="11"/>
      </w:pPr>
      <w:r>
        <w:drawing>
          <wp:inline distT="0" distB="0" distL="0" distR="0">
            <wp:extent cx="1143000" cy="1752600"/>
            <wp:effectExtent l="0" t="0" r="0" b="0"/>
            <wp:docPr id="3873911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39111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l="11780" t="15765" r="13474" b="19802"/>
                    <a:stretch>
                      <a:fillRect/>
                    </a:stretch>
                  </pic:blipFill>
                  <pic:spPr>
                    <a:xfrm>
                      <a:off x="0" y="0"/>
                      <a:ext cx="1152311" cy="1766041"/>
                    </a:xfrm>
                    <a:prstGeom prst="rect">
                      <a:avLst/>
                    </a:prstGeom>
                    <a:noFill/>
                    <a:ln>
                      <a:noFill/>
                    </a:ln>
                  </pic:spPr>
                </pic:pic>
              </a:graphicData>
            </a:graphic>
          </wp:inline>
        </w:drawing>
      </w:r>
    </w:p>
    <w:p w14:paraId="7F6042AA">
      <w:pPr>
        <w:pStyle w:val="12"/>
        <w:numPr>
          <w:ilvl w:val="0"/>
          <w:numId w:val="3"/>
        </w:numPr>
        <w:ind w:firstLineChars="0"/>
        <w:rPr>
          <w:b/>
          <w:bCs/>
        </w:rPr>
      </w:pPr>
      <w:r>
        <w:rPr>
          <w:rFonts w:hint="eastAsia"/>
          <w:b/>
          <w:bCs/>
        </w:rPr>
        <w:t>宣讲会安排（在线）</w:t>
      </w:r>
    </w:p>
    <w:p w14:paraId="2AEA7F6D">
      <w:pPr>
        <w:rPr>
          <w:lang w:val="en-GB"/>
        </w:rPr>
      </w:pPr>
      <w:r>
        <w:rPr>
          <w:lang w:val="en-GB"/>
        </w:rPr>
        <w:t>牛津大学奥利尔学院将于 2026 年 1 月 13 日起 滚动开展线上宣讲会。有意向参加的同学请加入</w:t>
      </w:r>
      <w:r>
        <w:rPr>
          <w:rFonts w:hint="eastAsia"/>
          <w:lang w:val="en-GB"/>
        </w:rPr>
        <w:t>项目</w:t>
      </w:r>
      <w:r>
        <w:rPr>
          <w:lang w:val="en-GB"/>
        </w:rPr>
        <w:t>QQ 群</w:t>
      </w:r>
      <w:r>
        <w:rPr>
          <w:rFonts w:hint="eastAsia"/>
          <w:lang w:val="en-GB"/>
        </w:rPr>
        <w:t>，</w:t>
      </w:r>
      <w:r>
        <w:rPr>
          <w:lang w:val="en-GB"/>
        </w:rPr>
        <w:t>获取具体会议链接及登录信息。宣讲会语言为中文或英文。</w:t>
      </w:r>
    </w:p>
    <w:p w14:paraId="01274242">
      <w:pPr>
        <w:rPr>
          <w:lang w:val="en-GB"/>
        </w:rPr>
      </w:pPr>
    </w:p>
    <w:p w14:paraId="5A25804B">
      <w:pPr>
        <w:rPr>
          <w:lang w:val="en-GB"/>
        </w:rPr>
      </w:pPr>
      <w:r>
        <w:rPr>
          <w:b/>
          <w:bCs/>
          <w:lang w:val="en-GB"/>
        </w:rPr>
        <w:t>3 月 15 日前宣讲会安排如下</w:t>
      </w:r>
      <w:r>
        <w:rPr>
          <w:rFonts w:hint="eastAsia"/>
          <w:b/>
          <w:bCs/>
          <w:lang w:val="en-GB"/>
        </w:rPr>
        <w:t>（北京时间）</w:t>
      </w:r>
      <w:r>
        <w:rPr>
          <w:b/>
          <w:bCs/>
          <w:lang w:val="en-GB"/>
        </w:rPr>
        <w:t>：</w:t>
      </w:r>
    </w:p>
    <w:p w14:paraId="6BB79E6D">
      <w:pPr>
        <w:numPr>
          <w:ilvl w:val="0"/>
          <w:numId w:val="5"/>
        </w:numPr>
        <w:rPr>
          <w:lang w:val="en-GB"/>
        </w:rPr>
      </w:pPr>
      <w:r>
        <w:rPr>
          <w:lang w:val="en-GB"/>
        </w:rPr>
        <w:t>1 月 13 日（周二）18:00–19:00</w:t>
      </w:r>
    </w:p>
    <w:p w14:paraId="7E45B773">
      <w:pPr>
        <w:numPr>
          <w:ilvl w:val="0"/>
          <w:numId w:val="5"/>
        </w:numPr>
        <w:rPr>
          <w:lang w:val="en-GB"/>
        </w:rPr>
      </w:pPr>
      <w:r>
        <w:rPr>
          <w:lang w:val="en-GB"/>
        </w:rPr>
        <w:t>1 月 21 日（周三）19:00–20:00</w:t>
      </w:r>
    </w:p>
    <w:p w14:paraId="539BC0B8">
      <w:pPr>
        <w:numPr>
          <w:ilvl w:val="0"/>
          <w:numId w:val="5"/>
        </w:numPr>
        <w:rPr>
          <w:lang w:val="en-GB"/>
        </w:rPr>
      </w:pPr>
      <w:r>
        <w:rPr>
          <w:lang w:val="en-GB"/>
        </w:rPr>
        <w:t>1 月 27 日（周二）18:00–19:00</w:t>
      </w:r>
    </w:p>
    <w:p w14:paraId="193D3C1F">
      <w:pPr>
        <w:numPr>
          <w:ilvl w:val="0"/>
          <w:numId w:val="5"/>
        </w:numPr>
        <w:rPr>
          <w:lang w:val="en-GB"/>
        </w:rPr>
      </w:pPr>
      <w:r>
        <w:rPr>
          <w:lang w:val="en-GB"/>
        </w:rPr>
        <w:t>2 月 4 日（周三）19:00–20:00</w:t>
      </w:r>
      <w:bookmarkStart w:id="1" w:name="_GoBack"/>
      <w:bookmarkEnd w:id="1"/>
    </w:p>
    <w:p w14:paraId="5D382C9A">
      <w:pPr>
        <w:numPr>
          <w:ilvl w:val="0"/>
          <w:numId w:val="5"/>
        </w:numPr>
        <w:rPr>
          <w:lang w:val="en-GB"/>
        </w:rPr>
      </w:pPr>
      <w:r>
        <w:rPr>
          <w:lang w:val="en-GB"/>
        </w:rPr>
        <w:t>2 月 10 日（周二）18:00–19:00</w:t>
      </w:r>
    </w:p>
    <w:p w14:paraId="4F140AC1">
      <w:pPr>
        <w:numPr>
          <w:ilvl w:val="0"/>
          <w:numId w:val="5"/>
        </w:numPr>
        <w:rPr>
          <w:lang w:val="en-GB"/>
        </w:rPr>
      </w:pPr>
      <w:r>
        <w:rPr>
          <w:lang w:val="en-GB"/>
        </w:rPr>
        <w:t>3 月 4 日（周三）19:00–20:00</w:t>
      </w:r>
    </w:p>
    <w:p w14:paraId="4EED5CCA">
      <w:pPr>
        <w:numPr>
          <w:ilvl w:val="0"/>
          <w:numId w:val="5"/>
        </w:numPr>
        <w:rPr>
          <w:lang w:val="en-GB"/>
        </w:rPr>
      </w:pPr>
      <w:r>
        <w:rPr>
          <w:lang w:val="en-GB"/>
        </w:rPr>
        <w:t>3 月 10 日（周二）18:00–19:00</w:t>
      </w:r>
    </w:p>
    <w:p w14:paraId="6EE5BE98">
      <w:pPr>
        <w:rPr>
          <w:lang w:val="en-GB"/>
        </w:rPr>
      </w:pPr>
      <w:r>
        <w:rPr>
          <w:lang w:val="en-GB"/>
        </w:rPr>
        <w:t>注：以上为 3 月 15 日前 的宣讲会初步安排，具体日期如有调整，将通过 QQ 群另行通知。</w:t>
      </w:r>
    </w:p>
    <w:p w14:paraId="507662AA">
      <w:pPr>
        <w:pStyle w:val="11"/>
        <w:rPr>
          <w:lang w:val="en-GB"/>
        </w:rPr>
      </w:pPr>
    </w:p>
    <w:p w14:paraId="29E6186E">
      <w:pPr>
        <w:pStyle w:val="12"/>
        <w:numPr>
          <w:ilvl w:val="0"/>
          <w:numId w:val="3"/>
        </w:numPr>
        <w:ind w:firstLineChars="0"/>
        <w:rPr>
          <w:b/>
          <w:bCs/>
        </w:rPr>
      </w:pPr>
      <w:r>
        <w:rPr>
          <w:rFonts w:hint="eastAsia"/>
          <w:b/>
          <w:bCs/>
        </w:rPr>
        <w:t>牛津大学奥利尔学院官方微信公众号</w:t>
      </w:r>
    </w:p>
    <w:p w14:paraId="7B43F1EC">
      <w:pPr>
        <w:pStyle w:val="11"/>
        <w:ind w:left="440"/>
        <w:rPr>
          <w:b/>
          <w:bCs/>
        </w:rPr>
      </w:pPr>
      <w:r>
        <w:drawing>
          <wp:inline distT="0" distB="0" distL="0" distR="0">
            <wp:extent cx="950595" cy="950595"/>
            <wp:effectExtent l="0" t="0" r="1905" b="1905"/>
            <wp:docPr id="392154156" name="Picture 3" descr="A qr code with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154156" name="Picture 3" descr="A qr code with a logo&#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954918" cy="954918"/>
                    </a:xfrm>
                    <a:prstGeom prst="rect">
                      <a:avLst/>
                    </a:prstGeom>
                    <a:noFill/>
                    <a:ln>
                      <a:noFill/>
                    </a:ln>
                  </pic:spPr>
                </pic:pic>
              </a:graphicData>
            </a:graphic>
          </wp:inline>
        </w:drawing>
      </w:r>
    </w:p>
    <w:p w14:paraId="541A3FEA">
      <w:pPr>
        <w:rPr>
          <w:lang w:val="en-GB"/>
        </w:rPr>
      </w:pPr>
    </w:p>
    <w:p w14:paraId="62E8BC50"/>
    <w:p w14:paraId="723E1DAC"/>
    <w:p w14:paraId="0E43B577"/>
    <w:p w14:paraId="3494877D">
      <w:pPr>
        <w:pStyle w:val="11"/>
        <w:rPr>
          <w:lang w:val="en-GB"/>
        </w:rPr>
      </w:pPr>
    </w:p>
    <w:sectPr>
      <w:headerReference r:id="rId3" w:type="default"/>
      <w:pgSz w:w="11906" w:h="16838"/>
      <w:pgMar w:top="2268" w:right="1797" w:bottom="1440" w:left="1797" w:header="90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603F01FF" w:csb1="FFFF0000"/>
  </w:font>
  <w:font w:name="Century Gothic">
    <w:panose1 w:val="020B0502020202020204"/>
    <w:charset w:val="00"/>
    <w:family w:val="swiss"/>
    <w:pitch w:val="default"/>
    <w:sig w:usb0="00000287" w:usb1="00000000" w:usb2="00000000" w:usb3="00000000" w:csb0="2000009F" w:csb1="DFD70000"/>
  </w:font>
  <w:font w:name="Courier New">
    <w:panose1 w:val="02070309020205020404"/>
    <w:charset w:val="00"/>
    <w:family w:val="modern"/>
    <w:pitch w:val="default"/>
    <w:sig w:usb0="E0002EFF" w:usb1="C0007843"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D98B5">
    <w:pPr>
      <w:pStyle w:val="3"/>
    </w:pPr>
    <w:r>
      <w:drawing>
        <wp:inline distT="0" distB="0" distL="0" distR="0">
          <wp:extent cx="4029075" cy="896620"/>
          <wp:effectExtent l="0" t="0" r="0" b="0"/>
          <wp:docPr id="1356812073" name="Picture 1" descr="A black and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812073" name="Picture 1" descr="A black and red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072447" cy="90640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77923"/>
    <w:multiLevelType w:val="multilevel"/>
    <w:tmpl w:val="00877923"/>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
    <w:nsid w:val="13375B32"/>
    <w:multiLevelType w:val="multilevel"/>
    <w:tmpl w:val="13375B32"/>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
    <w:nsid w:val="3B031B88"/>
    <w:multiLevelType w:val="multilevel"/>
    <w:tmpl w:val="3B031B8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
      <w:lvlJc w:val="left"/>
      <w:pPr>
        <w:tabs>
          <w:tab w:val="left" w:pos="1440"/>
        </w:tabs>
        <w:ind w:left="1440" w:hanging="360"/>
      </w:pPr>
      <w:rPr>
        <w:rFonts w:hint="default" w:ascii="Symbol" w:hAnsi="Symbol"/>
        <w:sz w:val="20"/>
      </w:rPr>
    </w:lvl>
    <w:lvl w:ilvl="2" w:tentative="0">
      <w:start w:val="1"/>
      <w:numFmt w:val="bullet"/>
      <w:lvlText w:val=""/>
      <w:lvlJc w:val="left"/>
      <w:pPr>
        <w:tabs>
          <w:tab w:val="left" w:pos="2160"/>
        </w:tabs>
        <w:ind w:left="2160" w:hanging="360"/>
      </w:pPr>
      <w:rPr>
        <w:rFonts w:hint="default" w:ascii="Symbol" w:hAnsi="Symbol"/>
        <w:sz w:val="20"/>
      </w:rPr>
    </w:lvl>
    <w:lvl w:ilvl="3" w:tentative="0">
      <w:start w:val="1"/>
      <w:numFmt w:val="bullet"/>
      <w:lvlText w:val=""/>
      <w:lvlJc w:val="left"/>
      <w:pPr>
        <w:tabs>
          <w:tab w:val="left" w:pos="2880"/>
        </w:tabs>
        <w:ind w:left="2880" w:hanging="360"/>
      </w:pPr>
      <w:rPr>
        <w:rFonts w:hint="default" w:ascii="Symbol" w:hAnsi="Symbol"/>
        <w:sz w:val="20"/>
      </w:rPr>
    </w:lvl>
    <w:lvl w:ilvl="4" w:tentative="0">
      <w:start w:val="1"/>
      <w:numFmt w:val="bullet"/>
      <w:lvlText w:val=""/>
      <w:lvlJc w:val="left"/>
      <w:pPr>
        <w:tabs>
          <w:tab w:val="left" w:pos="3600"/>
        </w:tabs>
        <w:ind w:left="3600" w:hanging="360"/>
      </w:pPr>
      <w:rPr>
        <w:rFonts w:hint="default" w:ascii="Symbol" w:hAnsi="Symbol"/>
        <w:sz w:val="20"/>
      </w:rPr>
    </w:lvl>
    <w:lvl w:ilvl="5" w:tentative="0">
      <w:start w:val="1"/>
      <w:numFmt w:val="bullet"/>
      <w:lvlText w:val=""/>
      <w:lvlJc w:val="left"/>
      <w:pPr>
        <w:tabs>
          <w:tab w:val="left" w:pos="4320"/>
        </w:tabs>
        <w:ind w:left="4320" w:hanging="360"/>
      </w:pPr>
      <w:rPr>
        <w:rFonts w:hint="default" w:ascii="Symbol" w:hAnsi="Symbol"/>
        <w:sz w:val="20"/>
      </w:rPr>
    </w:lvl>
    <w:lvl w:ilvl="6" w:tentative="0">
      <w:start w:val="1"/>
      <w:numFmt w:val="bullet"/>
      <w:lvlText w:val=""/>
      <w:lvlJc w:val="left"/>
      <w:pPr>
        <w:tabs>
          <w:tab w:val="left" w:pos="5040"/>
        </w:tabs>
        <w:ind w:left="5040" w:hanging="360"/>
      </w:pPr>
      <w:rPr>
        <w:rFonts w:hint="default" w:ascii="Symbol" w:hAnsi="Symbol"/>
        <w:sz w:val="20"/>
      </w:rPr>
    </w:lvl>
    <w:lvl w:ilvl="7" w:tentative="0">
      <w:start w:val="1"/>
      <w:numFmt w:val="bullet"/>
      <w:lvlText w:val=""/>
      <w:lvlJc w:val="left"/>
      <w:pPr>
        <w:tabs>
          <w:tab w:val="left" w:pos="5760"/>
        </w:tabs>
        <w:ind w:left="5760" w:hanging="360"/>
      </w:pPr>
      <w:rPr>
        <w:rFonts w:hint="default" w:ascii="Symbol" w:hAnsi="Symbol"/>
        <w:sz w:val="20"/>
      </w:rPr>
    </w:lvl>
    <w:lvl w:ilvl="8" w:tentative="0">
      <w:start w:val="1"/>
      <w:numFmt w:val="bullet"/>
      <w:lvlText w:val=""/>
      <w:lvlJc w:val="left"/>
      <w:pPr>
        <w:tabs>
          <w:tab w:val="left" w:pos="6480"/>
        </w:tabs>
        <w:ind w:left="6480" w:hanging="360"/>
      </w:pPr>
      <w:rPr>
        <w:rFonts w:hint="default" w:ascii="Symbol" w:hAnsi="Symbol"/>
        <w:sz w:val="20"/>
      </w:rPr>
    </w:lvl>
  </w:abstractNum>
  <w:abstractNum w:abstractNumId="3">
    <w:nsid w:val="4423393B"/>
    <w:multiLevelType w:val="multilevel"/>
    <w:tmpl w:val="4423393B"/>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4">
    <w:nsid w:val="6A8D76C9"/>
    <w:multiLevelType w:val="multilevel"/>
    <w:tmpl w:val="6A8D76C9"/>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8C1"/>
    <w:rsid w:val="00003025"/>
    <w:rsid w:val="00026AC7"/>
    <w:rsid w:val="00040061"/>
    <w:rsid w:val="00040385"/>
    <w:rsid w:val="0004383C"/>
    <w:rsid w:val="00056922"/>
    <w:rsid w:val="0005693C"/>
    <w:rsid w:val="0006390E"/>
    <w:rsid w:val="0006400F"/>
    <w:rsid w:val="0007171F"/>
    <w:rsid w:val="000758A6"/>
    <w:rsid w:val="00075DD8"/>
    <w:rsid w:val="000763AB"/>
    <w:rsid w:val="00095F83"/>
    <w:rsid w:val="000A720D"/>
    <w:rsid w:val="000B0C08"/>
    <w:rsid w:val="000B2D5B"/>
    <w:rsid w:val="000C49A7"/>
    <w:rsid w:val="000D2938"/>
    <w:rsid w:val="000E3AD8"/>
    <w:rsid w:val="000E6474"/>
    <w:rsid w:val="000E683F"/>
    <w:rsid w:val="000F0E9B"/>
    <w:rsid w:val="000F3017"/>
    <w:rsid w:val="000F5634"/>
    <w:rsid w:val="001008B0"/>
    <w:rsid w:val="00107C34"/>
    <w:rsid w:val="00113D21"/>
    <w:rsid w:val="00116197"/>
    <w:rsid w:val="00116C1D"/>
    <w:rsid w:val="0012491B"/>
    <w:rsid w:val="00130666"/>
    <w:rsid w:val="0013794F"/>
    <w:rsid w:val="0014380E"/>
    <w:rsid w:val="00144C72"/>
    <w:rsid w:val="001522B5"/>
    <w:rsid w:val="001608C1"/>
    <w:rsid w:val="00167061"/>
    <w:rsid w:val="00167363"/>
    <w:rsid w:val="00170755"/>
    <w:rsid w:val="001736CF"/>
    <w:rsid w:val="00177AED"/>
    <w:rsid w:val="001A233C"/>
    <w:rsid w:val="001A5683"/>
    <w:rsid w:val="001B7604"/>
    <w:rsid w:val="001B7E6A"/>
    <w:rsid w:val="001C1FA2"/>
    <w:rsid w:val="001D27A5"/>
    <w:rsid w:val="001E09BD"/>
    <w:rsid w:val="001F00F3"/>
    <w:rsid w:val="001F28B3"/>
    <w:rsid w:val="001F298E"/>
    <w:rsid w:val="002015B7"/>
    <w:rsid w:val="002020DA"/>
    <w:rsid w:val="002028DF"/>
    <w:rsid w:val="00205C16"/>
    <w:rsid w:val="002218AD"/>
    <w:rsid w:val="002279C2"/>
    <w:rsid w:val="00241AE9"/>
    <w:rsid w:val="0024578B"/>
    <w:rsid w:val="00251F4A"/>
    <w:rsid w:val="00263BDA"/>
    <w:rsid w:val="00265ED8"/>
    <w:rsid w:val="00267DF8"/>
    <w:rsid w:val="00272CEF"/>
    <w:rsid w:val="00276397"/>
    <w:rsid w:val="0027756E"/>
    <w:rsid w:val="00277C99"/>
    <w:rsid w:val="00284D74"/>
    <w:rsid w:val="00293324"/>
    <w:rsid w:val="002958A2"/>
    <w:rsid w:val="002970FF"/>
    <w:rsid w:val="002A6FCE"/>
    <w:rsid w:val="002B6AD3"/>
    <w:rsid w:val="002C35E4"/>
    <w:rsid w:val="002D1A6E"/>
    <w:rsid w:val="002D32FF"/>
    <w:rsid w:val="002D595A"/>
    <w:rsid w:val="002D615C"/>
    <w:rsid w:val="002E7F17"/>
    <w:rsid w:val="002F221D"/>
    <w:rsid w:val="002F2DAB"/>
    <w:rsid w:val="002F7A4D"/>
    <w:rsid w:val="003005DD"/>
    <w:rsid w:val="00301103"/>
    <w:rsid w:val="00303C22"/>
    <w:rsid w:val="00314437"/>
    <w:rsid w:val="0031783D"/>
    <w:rsid w:val="00327A8C"/>
    <w:rsid w:val="0033326E"/>
    <w:rsid w:val="003352DE"/>
    <w:rsid w:val="00345D68"/>
    <w:rsid w:val="00350C01"/>
    <w:rsid w:val="00354D52"/>
    <w:rsid w:val="003705F6"/>
    <w:rsid w:val="00373BB7"/>
    <w:rsid w:val="00381A1D"/>
    <w:rsid w:val="00381A54"/>
    <w:rsid w:val="003823F0"/>
    <w:rsid w:val="00385199"/>
    <w:rsid w:val="003A0D56"/>
    <w:rsid w:val="003B03CB"/>
    <w:rsid w:val="003C3083"/>
    <w:rsid w:val="003D5DF6"/>
    <w:rsid w:val="003F4B7E"/>
    <w:rsid w:val="004008F5"/>
    <w:rsid w:val="00412B25"/>
    <w:rsid w:val="00414089"/>
    <w:rsid w:val="00417ED3"/>
    <w:rsid w:val="00420662"/>
    <w:rsid w:val="004244FB"/>
    <w:rsid w:val="004318AF"/>
    <w:rsid w:val="004324E0"/>
    <w:rsid w:val="00437142"/>
    <w:rsid w:val="004422FF"/>
    <w:rsid w:val="00447B8F"/>
    <w:rsid w:val="00451682"/>
    <w:rsid w:val="00452B87"/>
    <w:rsid w:val="00452D1B"/>
    <w:rsid w:val="00454A65"/>
    <w:rsid w:val="00457A73"/>
    <w:rsid w:val="00460B88"/>
    <w:rsid w:val="00472214"/>
    <w:rsid w:val="00475928"/>
    <w:rsid w:val="00480B8C"/>
    <w:rsid w:val="00487BDA"/>
    <w:rsid w:val="00493D74"/>
    <w:rsid w:val="00494F85"/>
    <w:rsid w:val="00496AA0"/>
    <w:rsid w:val="004A55A1"/>
    <w:rsid w:val="004A6251"/>
    <w:rsid w:val="004B3F2D"/>
    <w:rsid w:val="004C1DE2"/>
    <w:rsid w:val="004C1F1B"/>
    <w:rsid w:val="004C5F7B"/>
    <w:rsid w:val="004D0A05"/>
    <w:rsid w:val="004D1CE0"/>
    <w:rsid w:val="004D3E1E"/>
    <w:rsid w:val="004D4FCE"/>
    <w:rsid w:val="004E3A55"/>
    <w:rsid w:val="004E4513"/>
    <w:rsid w:val="004E5CF4"/>
    <w:rsid w:val="004F319E"/>
    <w:rsid w:val="004F40BB"/>
    <w:rsid w:val="004F569E"/>
    <w:rsid w:val="004F760E"/>
    <w:rsid w:val="005111BF"/>
    <w:rsid w:val="00511841"/>
    <w:rsid w:val="005226FF"/>
    <w:rsid w:val="00525B52"/>
    <w:rsid w:val="00527C2F"/>
    <w:rsid w:val="00535ADF"/>
    <w:rsid w:val="0053637F"/>
    <w:rsid w:val="00540D21"/>
    <w:rsid w:val="00544918"/>
    <w:rsid w:val="005461F7"/>
    <w:rsid w:val="00551EDA"/>
    <w:rsid w:val="005522B3"/>
    <w:rsid w:val="00553D16"/>
    <w:rsid w:val="00566401"/>
    <w:rsid w:val="0056670A"/>
    <w:rsid w:val="0057034F"/>
    <w:rsid w:val="00580C4E"/>
    <w:rsid w:val="005A3D05"/>
    <w:rsid w:val="005A6D24"/>
    <w:rsid w:val="005C4E79"/>
    <w:rsid w:val="005D3FAD"/>
    <w:rsid w:val="005D4010"/>
    <w:rsid w:val="005D7F04"/>
    <w:rsid w:val="005D7F37"/>
    <w:rsid w:val="005E79EE"/>
    <w:rsid w:val="005F0397"/>
    <w:rsid w:val="005F5038"/>
    <w:rsid w:val="005F7499"/>
    <w:rsid w:val="005F76B0"/>
    <w:rsid w:val="00600DAD"/>
    <w:rsid w:val="00622A34"/>
    <w:rsid w:val="006406DB"/>
    <w:rsid w:val="00642E4D"/>
    <w:rsid w:val="00646BE9"/>
    <w:rsid w:val="0068464C"/>
    <w:rsid w:val="00685FA7"/>
    <w:rsid w:val="00693AF7"/>
    <w:rsid w:val="00694E24"/>
    <w:rsid w:val="00695D7A"/>
    <w:rsid w:val="006B7EB8"/>
    <w:rsid w:val="006C254E"/>
    <w:rsid w:val="006C3347"/>
    <w:rsid w:val="006D67D5"/>
    <w:rsid w:val="006E1516"/>
    <w:rsid w:val="006E2756"/>
    <w:rsid w:val="006E47B5"/>
    <w:rsid w:val="007107E9"/>
    <w:rsid w:val="00712AB3"/>
    <w:rsid w:val="007141A2"/>
    <w:rsid w:val="0072390C"/>
    <w:rsid w:val="00730E4F"/>
    <w:rsid w:val="00732022"/>
    <w:rsid w:val="00742426"/>
    <w:rsid w:val="007451D5"/>
    <w:rsid w:val="00757856"/>
    <w:rsid w:val="00764553"/>
    <w:rsid w:val="007719DB"/>
    <w:rsid w:val="00771FAF"/>
    <w:rsid w:val="00781570"/>
    <w:rsid w:val="0078293D"/>
    <w:rsid w:val="00784E90"/>
    <w:rsid w:val="00786C7D"/>
    <w:rsid w:val="00790CA4"/>
    <w:rsid w:val="00794CB6"/>
    <w:rsid w:val="007A4AB5"/>
    <w:rsid w:val="007A54F1"/>
    <w:rsid w:val="007A647F"/>
    <w:rsid w:val="007C204D"/>
    <w:rsid w:val="007C2EAC"/>
    <w:rsid w:val="007C63BF"/>
    <w:rsid w:val="007D2079"/>
    <w:rsid w:val="007D2B35"/>
    <w:rsid w:val="007D794E"/>
    <w:rsid w:val="007F621F"/>
    <w:rsid w:val="007F6BD4"/>
    <w:rsid w:val="00803B65"/>
    <w:rsid w:val="00804DD6"/>
    <w:rsid w:val="008172BC"/>
    <w:rsid w:val="008201C8"/>
    <w:rsid w:val="00825E00"/>
    <w:rsid w:val="0083663C"/>
    <w:rsid w:val="00840FEF"/>
    <w:rsid w:val="00844A0C"/>
    <w:rsid w:val="00845AFA"/>
    <w:rsid w:val="00850223"/>
    <w:rsid w:val="008529D8"/>
    <w:rsid w:val="00866113"/>
    <w:rsid w:val="00871078"/>
    <w:rsid w:val="008769D4"/>
    <w:rsid w:val="00881B0E"/>
    <w:rsid w:val="008911A3"/>
    <w:rsid w:val="00891323"/>
    <w:rsid w:val="00893B52"/>
    <w:rsid w:val="0089743D"/>
    <w:rsid w:val="00897F52"/>
    <w:rsid w:val="008B2C78"/>
    <w:rsid w:val="008B44CE"/>
    <w:rsid w:val="008B794C"/>
    <w:rsid w:val="008C03F4"/>
    <w:rsid w:val="008C04BE"/>
    <w:rsid w:val="008C0693"/>
    <w:rsid w:val="008C0BD9"/>
    <w:rsid w:val="008C3E84"/>
    <w:rsid w:val="008C5AAB"/>
    <w:rsid w:val="008D1F17"/>
    <w:rsid w:val="008D33BA"/>
    <w:rsid w:val="008D347B"/>
    <w:rsid w:val="008F031E"/>
    <w:rsid w:val="008F42D7"/>
    <w:rsid w:val="00912C12"/>
    <w:rsid w:val="00916D1A"/>
    <w:rsid w:val="00920FEE"/>
    <w:rsid w:val="00923BAC"/>
    <w:rsid w:val="009274A4"/>
    <w:rsid w:val="00936339"/>
    <w:rsid w:val="00936655"/>
    <w:rsid w:val="00936DC0"/>
    <w:rsid w:val="009416D3"/>
    <w:rsid w:val="009426B6"/>
    <w:rsid w:val="0094371B"/>
    <w:rsid w:val="00943BD2"/>
    <w:rsid w:val="00944D3A"/>
    <w:rsid w:val="0094751C"/>
    <w:rsid w:val="0095350F"/>
    <w:rsid w:val="00970023"/>
    <w:rsid w:val="00971146"/>
    <w:rsid w:val="00982228"/>
    <w:rsid w:val="009837BE"/>
    <w:rsid w:val="00987D0E"/>
    <w:rsid w:val="0099272C"/>
    <w:rsid w:val="00993926"/>
    <w:rsid w:val="00997E30"/>
    <w:rsid w:val="009B4E1C"/>
    <w:rsid w:val="009B681F"/>
    <w:rsid w:val="009D3D44"/>
    <w:rsid w:val="009F392F"/>
    <w:rsid w:val="009F4F39"/>
    <w:rsid w:val="009F5C71"/>
    <w:rsid w:val="009F7822"/>
    <w:rsid w:val="00A006EF"/>
    <w:rsid w:val="00A138B3"/>
    <w:rsid w:val="00A2777C"/>
    <w:rsid w:val="00A35018"/>
    <w:rsid w:val="00A3526E"/>
    <w:rsid w:val="00A41472"/>
    <w:rsid w:val="00A417C1"/>
    <w:rsid w:val="00A61122"/>
    <w:rsid w:val="00A62543"/>
    <w:rsid w:val="00A80634"/>
    <w:rsid w:val="00A84976"/>
    <w:rsid w:val="00A90B52"/>
    <w:rsid w:val="00A925F6"/>
    <w:rsid w:val="00A94DFB"/>
    <w:rsid w:val="00A97466"/>
    <w:rsid w:val="00AA3B58"/>
    <w:rsid w:val="00AB6068"/>
    <w:rsid w:val="00AC689D"/>
    <w:rsid w:val="00AD36A1"/>
    <w:rsid w:val="00AE2102"/>
    <w:rsid w:val="00AE2DDE"/>
    <w:rsid w:val="00AE689A"/>
    <w:rsid w:val="00AF1D82"/>
    <w:rsid w:val="00AF208B"/>
    <w:rsid w:val="00AF3F04"/>
    <w:rsid w:val="00AF4F3B"/>
    <w:rsid w:val="00B02F29"/>
    <w:rsid w:val="00B20105"/>
    <w:rsid w:val="00B23C8D"/>
    <w:rsid w:val="00B33511"/>
    <w:rsid w:val="00B33C8B"/>
    <w:rsid w:val="00B34E47"/>
    <w:rsid w:val="00B4352C"/>
    <w:rsid w:val="00B445CD"/>
    <w:rsid w:val="00B45EAA"/>
    <w:rsid w:val="00B4723F"/>
    <w:rsid w:val="00B57D3E"/>
    <w:rsid w:val="00B64D2D"/>
    <w:rsid w:val="00B70201"/>
    <w:rsid w:val="00B71EF1"/>
    <w:rsid w:val="00B75F9C"/>
    <w:rsid w:val="00B80BB7"/>
    <w:rsid w:val="00B80D0B"/>
    <w:rsid w:val="00B81D7F"/>
    <w:rsid w:val="00B82624"/>
    <w:rsid w:val="00B828F2"/>
    <w:rsid w:val="00B84465"/>
    <w:rsid w:val="00B84F75"/>
    <w:rsid w:val="00B91304"/>
    <w:rsid w:val="00B91F2A"/>
    <w:rsid w:val="00BA25C2"/>
    <w:rsid w:val="00BA46AF"/>
    <w:rsid w:val="00BB59A0"/>
    <w:rsid w:val="00BB5FC9"/>
    <w:rsid w:val="00BB7868"/>
    <w:rsid w:val="00BE3131"/>
    <w:rsid w:val="00BE502E"/>
    <w:rsid w:val="00BF2453"/>
    <w:rsid w:val="00BF32F3"/>
    <w:rsid w:val="00BF37D2"/>
    <w:rsid w:val="00BF7065"/>
    <w:rsid w:val="00C02ECF"/>
    <w:rsid w:val="00C10E88"/>
    <w:rsid w:val="00C14F28"/>
    <w:rsid w:val="00C15FBA"/>
    <w:rsid w:val="00C1760A"/>
    <w:rsid w:val="00C36803"/>
    <w:rsid w:val="00C42936"/>
    <w:rsid w:val="00C42FCA"/>
    <w:rsid w:val="00C438D7"/>
    <w:rsid w:val="00C45EEC"/>
    <w:rsid w:val="00C4668D"/>
    <w:rsid w:val="00C470A9"/>
    <w:rsid w:val="00C503EF"/>
    <w:rsid w:val="00C50945"/>
    <w:rsid w:val="00C50B9D"/>
    <w:rsid w:val="00C75613"/>
    <w:rsid w:val="00C85E06"/>
    <w:rsid w:val="00CB0F4C"/>
    <w:rsid w:val="00CB3464"/>
    <w:rsid w:val="00CB356D"/>
    <w:rsid w:val="00CC54FF"/>
    <w:rsid w:val="00CD0B0C"/>
    <w:rsid w:val="00CD2AB1"/>
    <w:rsid w:val="00CD3E72"/>
    <w:rsid w:val="00CD635B"/>
    <w:rsid w:val="00CE1AE0"/>
    <w:rsid w:val="00D005E7"/>
    <w:rsid w:val="00D07AB5"/>
    <w:rsid w:val="00D15AE4"/>
    <w:rsid w:val="00D20A13"/>
    <w:rsid w:val="00D227F2"/>
    <w:rsid w:val="00D22A6F"/>
    <w:rsid w:val="00D24514"/>
    <w:rsid w:val="00D264B1"/>
    <w:rsid w:val="00D26D97"/>
    <w:rsid w:val="00D337B8"/>
    <w:rsid w:val="00D36E25"/>
    <w:rsid w:val="00D55D0E"/>
    <w:rsid w:val="00D56F1A"/>
    <w:rsid w:val="00D57163"/>
    <w:rsid w:val="00D60D96"/>
    <w:rsid w:val="00D6119C"/>
    <w:rsid w:val="00D73839"/>
    <w:rsid w:val="00D7645E"/>
    <w:rsid w:val="00D76973"/>
    <w:rsid w:val="00D80966"/>
    <w:rsid w:val="00D80A8F"/>
    <w:rsid w:val="00D81D1C"/>
    <w:rsid w:val="00D858F0"/>
    <w:rsid w:val="00D92A25"/>
    <w:rsid w:val="00D942D2"/>
    <w:rsid w:val="00D973C5"/>
    <w:rsid w:val="00DA4637"/>
    <w:rsid w:val="00DA62F2"/>
    <w:rsid w:val="00DB6D8C"/>
    <w:rsid w:val="00DC5C86"/>
    <w:rsid w:val="00DD0CF0"/>
    <w:rsid w:val="00DD2971"/>
    <w:rsid w:val="00DD3AB5"/>
    <w:rsid w:val="00DE5191"/>
    <w:rsid w:val="00DF36A0"/>
    <w:rsid w:val="00DF78AD"/>
    <w:rsid w:val="00E1160A"/>
    <w:rsid w:val="00E13B18"/>
    <w:rsid w:val="00E20EF9"/>
    <w:rsid w:val="00E2111F"/>
    <w:rsid w:val="00E25008"/>
    <w:rsid w:val="00E25F7D"/>
    <w:rsid w:val="00E26323"/>
    <w:rsid w:val="00E275E8"/>
    <w:rsid w:val="00E3398D"/>
    <w:rsid w:val="00E34CFF"/>
    <w:rsid w:val="00E3625D"/>
    <w:rsid w:val="00E37639"/>
    <w:rsid w:val="00E37AC0"/>
    <w:rsid w:val="00E419DE"/>
    <w:rsid w:val="00E41BE9"/>
    <w:rsid w:val="00E574F7"/>
    <w:rsid w:val="00E60B05"/>
    <w:rsid w:val="00E62057"/>
    <w:rsid w:val="00E665A6"/>
    <w:rsid w:val="00E6790D"/>
    <w:rsid w:val="00E70999"/>
    <w:rsid w:val="00E72432"/>
    <w:rsid w:val="00E72960"/>
    <w:rsid w:val="00E828B8"/>
    <w:rsid w:val="00E8735E"/>
    <w:rsid w:val="00E9260C"/>
    <w:rsid w:val="00EA3ABF"/>
    <w:rsid w:val="00EA4B5B"/>
    <w:rsid w:val="00EB6815"/>
    <w:rsid w:val="00EB6B43"/>
    <w:rsid w:val="00ED2459"/>
    <w:rsid w:val="00EF45BE"/>
    <w:rsid w:val="00EF6EF1"/>
    <w:rsid w:val="00F10FF3"/>
    <w:rsid w:val="00F12C67"/>
    <w:rsid w:val="00F255B4"/>
    <w:rsid w:val="00F33339"/>
    <w:rsid w:val="00F36326"/>
    <w:rsid w:val="00F55178"/>
    <w:rsid w:val="00F61478"/>
    <w:rsid w:val="00F62685"/>
    <w:rsid w:val="00F719E0"/>
    <w:rsid w:val="00F823A4"/>
    <w:rsid w:val="00F90089"/>
    <w:rsid w:val="00FA2D4A"/>
    <w:rsid w:val="00FD355D"/>
    <w:rsid w:val="00FD6C13"/>
    <w:rsid w:val="00FE3711"/>
    <w:rsid w:val="00FE408A"/>
    <w:rsid w:val="00FE40BF"/>
    <w:rsid w:val="00FE6990"/>
    <w:rsid w:val="00FF5E99"/>
    <w:rsid w:val="7CA12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link w:val="14"/>
    <w:unhideWhenUsed/>
    <w:uiPriority w:val="99"/>
    <w:pPr>
      <w:tabs>
        <w:tab w:val="center" w:pos="4153"/>
        <w:tab w:val="right" w:pos="8306"/>
      </w:tabs>
      <w:snapToGrid w:val="0"/>
      <w:jc w:val="left"/>
    </w:pPr>
    <w:rPr>
      <w:sz w:val="18"/>
      <w:szCs w:val="18"/>
    </w:rPr>
  </w:style>
  <w:style w:type="paragraph" w:styleId="3">
    <w:name w:val="header"/>
    <w:basedOn w:val="1"/>
    <w:link w:val="13"/>
    <w:unhideWhenUsed/>
    <w:qFormat/>
    <w:uiPriority w:val="99"/>
    <w:pPr>
      <w:tabs>
        <w:tab w:val="center" w:pos="4153"/>
        <w:tab w:val="right" w:pos="8306"/>
      </w:tabs>
      <w:snapToGrid w:val="0"/>
      <w:jc w:val="center"/>
    </w:pPr>
    <w:rPr>
      <w:sz w:val="18"/>
      <w:szCs w:val="18"/>
    </w:rPr>
  </w:style>
  <w:style w:type="paragraph" w:styleId="4">
    <w:name w:val="Normal (Web)"/>
    <w:basedOn w:val="1"/>
    <w:uiPriority w:val="99"/>
    <w:pPr>
      <w:widowControl/>
      <w:spacing w:before="72" w:after="72" w:line="288" w:lineRule="auto"/>
      <w:jc w:val="left"/>
    </w:pPr>
    <w:rPr>
      <w:rFonts w:ascii="宋体" w:hAnsi="宋体" w:eastAsia="宋体" w:cs="宋体"/>
      <w:kern w:val="0"/>
      <w:sz w:val="24"/>
      <w:szCs w:val="24"/>
    </w:rPr>
  </w:style>
  <w:style w:type="paragraph" w:styleId="5">
    <w:name w:val="Title"/>
    <w:basedOn w:val="1"/>
    <w:next w:val="1"/>
    <w:link w:val="16"/>
    <w:qFormat/>
    <w:uiPriority w:val="1"/>
    <w:pPr>
      <w:widowControl/>
      <w:autoSpaceDE w:val="0"/>
      <w:autoSpaceDN w:val="0"/>
      <w:adjustRightInd w:val="0"/>
      <w:spacing w:before="5"/>
      <w:jc w:val="left"/>
    </w:pPr>
    <w:rPr>
      <w:rFonts w:ascii="Times New Roman" w:hAnsi="Times New Roman" w:cs="Times New Roman"/>
      <w:kern w:val="0"/>
      <w:sz w:val="24"/>
      <w:szCs w:val="24"/>
      <w:lang w:val="en-GB"/>
    </w:rPr>
  </w:style>
  <w:style w:type="character" w:styleId="8">
    <w:name w:val="FollowedHyperlink"/>
    <w:basedOn w:val="7"/>
    <w:semiHidden/>
    <w:unhideWhenUsed/>
    <w:qFormat/>
    <w:uiPriority w:val="99"/>
    <w:rPr>
      <w:color w:val="954F72" w:themeColor="followedHyperlink"/>
      <w:u w:val="single"/>
      <w14:textFill>
        <w14:solidFill>
          <w14:schemeClr w14:val="folHlink"/>
        </w14:solidFill>
      </w14:textFill>
    </w:rPr>
  </w:style>
  <w:style w:type="character" w:styleId="9">
    <w:name w:val="Hyperlink"/>
    <w:basedOn w:val="7"/>
    <w:unhideWhenUsed/>
    <w:qFormat/>
    <w:uiPriority w:val="99"/>
    <w:rPr>
      <w:color w:val="0563C1" w:themeColor="hyperlink"/>
      <w:u w:val="single"/>
      <w14:textFill>
        <w14:solidFill>
          <w14:schemeClr w14:val="hlink"/>
        </w14:solidFill>
      </w14:textFill>
    </w:rPr>
  </w:style>
  <w:style w:type="paragraph" w:customStyle="1" w:styleId="10">
    <w:name w:val="正文1"/>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hint="eastAsia" w:ascii="Arial Unicode MS" w:hAnsi="Arial Unicode MS" w:eastAsia="Arial Unicode MS" w:cs="Arial Unicode MS"/>
      <w:color w:val="000000"/>
      <w:kern w:val="2"/>
      <w:sz w:val="21"/>
      <w:szCs w:val="21"/>
      <w:u w:color="000000"/>
      <w:lang w:val="en-US" w:eastAsia="zh-CN" w:bidi="ar-SA"/>
    </w:rPr>
  </w:style>
  <w:style w:type="paragraph" w:styleId="1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styleId="12">
    <w:name w:val="List Paragraph"/>
    <w:basedOn w:val="1"/>
    <w:qFormat/>
    <w:uiPriority w:val="34"/>
    <w:pPr>
      <w:ind w:firstLine="420" w:firstLineChars="200"/>
    </w:pPr>
  </w:style>
  <w:style w:type="character" w:customStyle="1" w:styleId="13">
    <w:name w:val="Header Char"/>
    <w:basedOn w:val="7"/>
    <w:link w:val="3"/>
    <w:uiPriority w:val="99"/>
    <w:rPr>
      <w:sz w:val="18"/>
      <w:szCs w:val="18"/>
    </w:rPr>
  </w:style>
  <w:style w:type="character" w:customStyle="1" w:styleId="14">
    <w:name w:val="Footer Char"/>
    <w:basedOn w:val="7"/>
    <w:link w:val="2"/>
    <w:uiPriority w:val="99"/>
    <w:rPr>
      <w:sz w:val="18"/>
      <w:szCs w:val="18"/>
    </w:rPr>
  </w:style>
  <w:style w:type="character" w:customStyle="1" w:styleId="15">
    <w:name w:val="Unresolved Mention"/>
    <w:basedOn w:val="7"/>
    <w:semiHidden/>
    <w:unhideWhenUsed/>
    <w:uiPriority w:val="99"/>
    <w:rPr>
      <w:color w:val="605E5C"/>
      <w:shd w:val="clear" w:color="auto" w:fill="E1DFDD"/>
    </w:rPr>
  </w:style>
  <w:style w:type="character" w:customStyle="1" w:styleId="16">
    <w:name w:val="Title Char"/>
    <w:basedOn w:val="7"/>
    <w:link w:val="5"/>
    <w:uiPriority w:val="1"/>
    <w:rPr>
      <w:rFonts w:ascii="Times New Roman" w:hAnsi="Times New Roman" w:cs="Times New Roman"/>
      <w:kern w:val="0"/>
      <w:sz w:val="24"/>
      <w:szCs w:val="24"/>
      <w:lang w:val="en-GB"/>
    </w:rPr>
  </w:style>
  <w:style w:type="paragraph" w:customStyle="1" w:styleId="17">
    <w:name w:val="Table Paragraph"/>
    <w:basedOn w:val="1"/>
    <w:qFormat/>
    <w:uiPriority w:val="1"/>
    <w:pPr>
      <w:widowControl/>
      <w:autoSpaceDE w:val="0"/>
      <w:autoSpaceDN w:val="0"/>
      <w:adjustRightInd w:val="0"/>
      <w:ind w:left="111"/>
      <w:jc w:val="left"/>
    </w:pPr>
    <w:rPr>
      <w:rFonts w:ascii="Century Gothic" w:hAnsi="Century Gothic" w:cs="Century Gothic"/>
      <w:kern w:val="0"/>
      <w:sz w:val="24"/>
      <w:szCs w:val="24"/>
      <w:lang w:val="en-GB"/>
    </w:rPr>
  </w:style>
  <w:style w:type="character" w:styleId="18">
    <w:name w:val="Placeholder Text"/>
    <w:basedOn w:val="7"/>
    <w:semiHidden/>
    <w:uiPriority w:val="99"/>
    <w:rPr>
      <w:color w:val="666666"/>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46216-E6B7-3947-94C8-D606E3A05E36}">
  <ds:schemaRefs/>
</ds:datastoreItem>
</file>

<file path=docProps/app.xml><?xml version="1.0" encoding="utf-8"?>
<Properties xmlns="http://schemas.openxmlformats.org/officeDocument/2006/extended-properties" xmlns:vt="http://schemas.openxmlformats.org/officeDocument/2006/docPropsVTypes">
  <Template>Normal</Template>
  <Pages>4</Pages>
  <Words>1769</Words>
  <Characters>2121</Characters>
  <Lines>67</Lines>
  <Paragraphs>61</Paragraphs>
  <TotalTime>0</TotalTime>
  <ScaleCrop>false</ScaleCrop>
  <LinksUpToDate>false</LinksUpToDate>
  <CharactersWithSpaces>2194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2026-01-06T13:09:00Z</dcterms:created>
  <dc:creator>tina.jiang@oriel.ox.ac.uk</dc:creator>
  <cp:lastModifiedBy>CJ</cp:lastModifiedBy>
  <dcterms:modified xsi:type="dcterms:W3CDTF">2026-01-08T01:36:21Z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bf5041582998ce262542e908ea5d62702fc11f386c448721d5c62328e8a29819</vt:lpwstr>
  </property>
  <property fmtid="{D5CDD505-2E9C-101B-9397-08002B2CF9AE}" pid="3" name="KSOTemplateDocerSaveRecord">
    <vt:lpwstr>eyJoZGlkIjoiODgwMTI5NmY5OGJjYTcyMzRlODkzNzc0YTE0NDQxMDEiLCJ1c2VySWQiOiI3NTQ3NDU3ODYifQ==</vt:lpwstr>
  </property>
  <property fmtid="{D5CDD505-2E9C-101B-9397-08002B2CF9AE}" pid="4" name="KSOProductBuildVer">
    <vt:lpwstr>2052-12.1.0.24034</vt:lpwstr>
  </property>
  <property fmtid="{D5CDD505-2E9C-101B-9397-08002B2CF9AE}" pid="5" name="ICV">
    <vt:lpwstr>8891D9E15B8A4FAB8414B07C4BE01A46_12</vt:lpwstr>
  </property>
</Properties>
</file>